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C9" w:rsidRPr="005A59C6" w:rsidRDefault="00252CC9" w:rsidP="005A59C6">
      <w:pPr>
        <w:autoSpaceDE w:val="0"/>
        <w:autoSpaceDN w:val="0"/>
        <w:adjustRightInd w:val="0"/>
        <w:contextualSpacing/>
        <w:jc w:val="center"/>
        <w:rPr>
          <w:szCs w:val="24"/>
        </w:rPr>
      </w:pPr>
      <w:r w:rsidRPr="005A59C6">
        <w:rPr>
          <w:rFonts w:eastAsia="Calibri"/>
          <w:noProof/>
          <w:szCs w:val="24"/>
          <w:lang w:eastAsia="pt-PT"/>
        </w:rPr>
        <w:drawing>
          <wp:inline distT="0" distB="0" distL="0" distR="0" wp14:anchorId="6F8AF063" wp14:editId="40350891">
            <wp:extent cx="861060" cy="67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82" cy="68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9C6">
        <w:rPr>
          <w:szCs w:val="24"/>
        </w:rPr>
        <w:t xml:space="preserve"> </w:t>
      </w:r>
    </w:p>
    <w:p w:rsidR="00252CC9" w:rsidRPr="005A59C6" w:rsidRDefault="00252CC9" w:rsidP="005A59C6">
      <w:pPr>
        <w:autoSpaceDE w:val="0"/>
        <w:autoSpaceDN w:val="0"/>
        <w:adjustRightInd w:val="0"/>
        <w:contextualSpacing/>
        <w:jc w:val="center"/>
        <w:rPr>
          <w:szCs w:val="24"/>
        </w:rPr>
      </w:pPr>
      <w:r w:rsidRPr="005A59C6">
        <w:rPr>
          <w:szCs w:val="24"/>
        </w:rPr>
        <w:t>REPÚBLICA DE MOÇAMBIQUE</w:t>
      </w:r>
    </w:p>
    <w:p w:rsidR="00252CC9" w:rsidRPr="005A59C6" w:rsidRDefault="00252CC9" w:rsidP="005A59C6">
      <w:pPr>
        <w:autoSpaceDE w:val="0"/>
        <w:autoSpaceDN w:val="0"/>
        <w:adjustRightInd w:val="0"/>
        <w:contextualSpacing/>
        <w:jc w:val="center"/>
        <w:rPr>
          <w:szCs w:val="24"/>
        </w:rPr>
      </w:pPr>
      <w:r w:rsidRPr="005A59C6">
        <w:rPr>
          <w:szCs w:val="24"/>
        </w:rPr>
        <w:t>INSTITUTO NACIONAL DE GESTÃO E REDUÇÃO DO RISCO DE DESASTRES</w:t>
      </w:r>
    </w:p>
    <w:p w:rsidR="00BE15BA" w:rsidRPr="005A59C6" w:rsidRDefault="00252CC9" w:rsidP="005A59C6">
      <w:pPr>
        <w:jc w:val="center"/>
        <w:rPr>
          <w:b/>
          <w:bCs/>
          <w:iCs/>
          <w:szCs w:val="24"/>
        </w:rPr>
      </w:pPr>
      <w:r w:rsidRPr="005A59C6">
        <w:rPr>
          <w:b/>
          <w:szCs w:val="24"/>
        </w:rPr>
        <w:t>PROGRAMA DE GESTÃO DO RISCO DE DESASTRES E RESILIÊNCIA</w:t>
      </w:r>
      <w:r w:rsidR="00F077D0" w:rsidRPr="005A59C6">
        <w:rPr>
          <w:b/>
          <w:szCs w:val="24"/>
        </w:rPr>
        <w:t xml:space="preserve"> EM MOÇAMBIQUE</w:t>
      </w:r>
      <w:r w:rsidR="00BE15BA" w:rsidRPr="005A59C6">
        <w:rPr>
          <w:b/>
          <w:szCs w:val="24"/>
        </w:rPr>
        <w:t xml:space="preserve"> </w:t>
      </w:r>
      <w:r w:rsidR="00BE15BA" w:rsidRPr="005A59C6">
        <w:rPr>
          <w:b/>
          <w:bCs/>
          <w:iCs/>
          <w:szCs w:val="24"/>
        </w:rPr>
        <w:t>(P166437)</w:t>
      </w:r>
    </w:p>
    <w:p w:rsidR="00252CC9" w:rsidRPr="005A59C6" w:rsidRDefault="00252CC9" w:rsidP="005A59C6">
      <w:pPr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252CC9" w:rsidRPr="005A59C6" w:rsidRDefault="00252CC9" w:rsidP="005A59C6">
      <w:pPr>
        <w:tabs>
          <w:tab w:val="left" w:pos="3540"/>
          <w:tab w:val="center" w:pos="4680"/>
        </w:tabs>
        <w:suppressAutoHyphens/>
        <w:contextualSpacing/>
        <w:jc w:val="center"/>
        <w:outlineLvl w:val="0"/>
        <w:rPr>
          <w:b/>
          <w:szCs w:val="24"/>
        </w:rPr>
      </w:pPr>
    </w:p>
    <w:p w:rsidR="00BE15BA" w:rsidRPr="005A59C6" w:rsidRDefault="00BE15BA" w:rsidP="005A59C6">
      <w:pPr>
        <w:jc w:val="center"/>
        <w:rPr>
          <w:b/>
          <w:szCs w:val="24"/>
        </w:rPr>
      </w:pPr>
      <w:r w:rsidRPr="005A59C6">
        <w:rPr>
          <w:b/>
          <w:szCs w:val="24"/>
        </w:rPr>
        <w:t>SOLICITAÇÃO DE MANIFESTAÇÃO DE INTERESSE</w:t>
      </w:r>
    </w:p>
    <w:p w:rsidR="00C431DD" w:rsidRPr="005A59C6" w:rsidRDefault="00C431DD" w:rsidP="005A59C6">
      <w:pPr>
        <w:ind w:left="720" w:right="-450" w:hanging="1080"/>
        <w:jc w:val="center"/>
        <w:rPr>
          <w:szCs w:val="24"/>
        </w:rPr>
      </w:pPr>
      <w:r w:rsidRPr="005A59C6">
        <w:rPr>
          <w:szCs w:val="24"/>
        </w:rPr>
        <w:t>Desenvolvimento e Uso de Ferramentas Geoespaciais para Prontidão e Resposta a Desastres</w:t>
      </w:r>
    </w:p>
    <w:p w:rsidR="00C431DD" w:rsidRPr="004314D6" w:rsidRDefault="00C431DD" w:rsidP="005A59C6">
      <w:pPr>
        <w:ind w:left="720" w:right="-450" w:hanging="1080"/>
        <w:jc w:val="center"/>
        <w:rPr>
          <w:sz w:val="20"/>
          <w:szCs w:val="24"/>
        </w:rPr>
      </w:pPr>
      <w:r w:rsidRPr="004314D6">
        <w:rPr>
          <w:sz w:val="20"/>
          <w:szCs w:val="24"/>
        </w:rPr>
        <w:t>(Consultor Individual)</w:t>
      </w:r>
    </w:p>
    <w:p w:rsidR="00C431DD" w:rsidRPr="005A59C6" w:rsidRDefault="00C431DD" w:rsidP="005A59C6">
      <w:pPr>
        <w:ind w:left="720" w:right="-450" w:hanging="1080"/>
        <w:jc w:val="center"/>
        <w:rPr>
          <w:b/>
          <w:szCs w:val="24"/>
        </w:rPr>
      </w:pPr>
      <w:r w:rsidRPr="005A59C6">
        <w:rPr>
          <w:b/>
          <w:szCs w:val="24"/>
        </w:rPr>
        <w:t>REF. MZ-INGC-05-CS-INDV</w:t>
      </w:r>
    </w:p>
    <w:p w:rsidR="00C431DD" w:rsidRPr="005A59C6" w:rsidRDefault="00C431DD" w:rsidP="005A59C6">
      <w:pPr>
        <w:jc w:val="center"/>
        <w:rPr>
          <w:b/>
          <w:szCs w:val="24"/>
        </w:rPr>
      </w:pPr>
    </w:p>
    <w:p w:rsidR="00B06FE9" w:rsidRPr="005A59C6" w:rsidRDefault="00C431DD" w:rsidP="005A59C6">
      <w:pPr>
        <w:pStyle w:val="Heading3"/>
        <w:contextualSpacing/>
        <w:rPr>
          <w:b w:val="0"/>
          <w:bCs w:val="0"/>
          <w:szCs w:val="24"/>
        </w:rPr>
      </w:pP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 w:val="0"/>
          <w:bCs w:val="0"/>
          <w:szCs w:val="24"/>
        </w:rPr>
        <w:t>Data: 1</w:t>
      </w:r>
      <w:r w:rsidR="00D5195B">
        <w:rPr>
          <w:b w:val="0"/>
          <w:bCs w:val="0"/>
          <w:szCs w:val="24"/>
        </w:rPr>
        <w:t>7</w:t>
      </w:r>
      <w:r w:rsidR="00FF4683" w:rsidRPr="005A59C6">
        <w:rPr>
          <w:b w:val="0"/>
          <w:bCs w:val="0"/>
          <w:szCs w:val="24"/>
        </w:rPr>
        <w:t xml:space="preserve"> de Março de 2021</w:t>
      </w:r>
    </w:p>
    <w:p w:rsidR="00FF4683" w:rsidRPr="005A59C6" w:rsidRDefault="00FF4683" w:rsidP="005A59C6">
      <w:pPr>
        <w:rPr>
          <w:szCs w:val="24"/>
        </w:rPr>
      </w:pPr>
    </w:p>
    <w:p w:rsidR="00252CC9" w:rsidRPr="005A59C6" w:rsidRDefault="00252CC9" w:rsidP="005A59C6">
      <w:pPr>
        <w:tabs>
          <w:tab w:val="left" w:pos="0"/>
          <w:tab w:val="left" w:pos="1985"/>
        </w:tabs>
        <w:contextualSpacing/>
        <w:mirrorIndents/>
        <w:jc w:val="both"/>
        <w:rPr>
          <w:szCs w:val="24"/>
        </w:rPr>
      </w:pPr>
      <w:r w:rsidRPr="005A59C6">
        <w:rPr>
          <w:szCs w:val="24"/>
        </w:rPr>
        <w:t>O Governo de Moçambique, através do Instituto Nacional de Gestão e Redução do Risco de Desastres (INGD) e o Ministério de Educação e Desenvolvimento Humano (MINEDH), recebeu um financiamento do Banco Mundial para implementar o Programa de Gestão do Risco de Desastres e Resiliência em Moçambique para um período de cinco anos (2019-2024) e pretende</w:t>
      </w:r>
      <w:r w:rsidR="008474BD" w:rsidRPr="005A59C6">
        <w:rPr>
          <w:szCs w:val="24"/>
        </w:rPr>
        <w:t xml:space="preserve"> aplicar parte dos fundos para c</w:t>
      </w:r>
      <w:r w:rsidRPr="005A59C6">
        <w:rPr>
          <w:szCs w:val="24"/>
        </w:rPr>
        <w:t xml:space="preserve">ontratação de </w:t>
      </w:r>
      <w:r w:rsidR="00C431DD" w:rsidRPr="005A59C6">
        <w:rPr>
          <w:szCs w:val="24"/>
        </w:rPr>
        <w:t>um c</w:t>
      </w:r>
      <w:r w:rsidR="005A59C6">
        <w:rPr>
          <w:szCs w:val="24"/>
        </w:rPr>
        <w:t xml:space="preserve">onsultor </w:t>
      </w:r>
      <w:r w:rsidR="004314D6">
        <w:rPr>
          <w:szCs w:val="24"/>
        </w:rPr>
        <w:t>i</w:t>
      </w:r>
      <w:r w:rsidR="005A59C6">
        <w:rPr>
          <w:szCs w:val="24"/>
        </w:rPr>
        <w:t>ndividual para</w:t>
      </w:r>
      <w:r w:rsidRPr="005A59C6">
        <w:rPr>
          <w:szCs w:val="24"/>
        </w:rPr>
        <w:t xml:space="preserve"> </w:t>
      </w:r>
      <w:bookmarkStart w:id="0" w:name="_GoBack"/>
      <w:bookmarkEnd w:id="0"/>
      <w:r w:rsidR="00C431DD" w:rsidRPr="005A59C6">
        <w:rPr>
          <w:b/>
          <w:szCs w:val="24"/>
        </w:rPr>
        <w:t>Desenvolvimento e Uso de Ferramentas Geoespaciais para Prontidão e Resposta a Desastres</w:t>
      </w:r>
      <w:r w:rsidRPr="005A59C6">
        <w:rPr>
          <w:szCs w:val="24"/>
        </w:rPr>
        <w:t>.</w:t>
      </w:r>
    </w:p>
    <w:p w:rsidR="00BE15BA" w:rsidRPr="005A59C6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BE15BA" w:rsidRPr="005A59C6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5A59C6">
        <w:rPr>
          <w:szCs w:val="24"/>
        </w:rPr>
        <w:t xml:space="preserve">O principal objectivo da consultoria é </w:t>
      </w:r>
      <w:r w:rsidR="00C431DD" w:rsidRPr="005A59C6">
        <w:rPr>
          <w:szCs w:val="24"/>
        </w:rPr>
        <w:t>assessorar o INGD no desenvolvimento, uso, gestão e manutenção de ferramentas geoespaciais para prontidão e resposta a desastres</w:t>
      </w:r>
      <w:r w:rsidRPr="005A59C6">
        <w:rPr>
          <w:szCs w:val="24"/>
        </w:rPr>
        <w:t>.</w:t>
      </w:r>
    </w:p>
    <w:p w:rsidR="00BE15BA" w:rsidRPr="005A59C6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5A59C6" w:rsidRPr="005A59C6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5A59C6">
        <w:rPr>
          <w:szCs w:val="24"/>
        </w:rPr>
        <w:t>Os serviços de consultoria incluem, mas não se limitam a:</w:t>
      </w:r>
    </w:p>
    <w:p w:rsidR="00C431DD" w:rsidRPr="005A59C6" w:rsidRDefault="00C431DD" w:rsidP="005A59C6">
      <w:pPr>
        <w:numPr>
          <w:ilvl w:val="0"/>
          <w:numId w:val="14"/>
        </w:numPr>
        <w:tabs>
          <w:tab w:val="left" w:pos="630"/>
        </w:tabs>
        <w:spacing w:before="120"/>
        <w:contextualSpacing/>
        <w:jc w:val="both"/>
        <w:rPr>
          <w:szCs w:val="24"/>
        </w:rPr>
      </w:pPr>
      <w:r w:rsidRPr="005A59C6">
        <w:rPr>
          <w:szCs w:val="24"/>
        </w:rPr>
        <w:t>Fornecer assessoria técnica para alcançar sustentabilidade e ajustes necessários das ferramentas geoespaciais existentes;</w:t>
      </w:r>
    </w:p>
    <w:p w:rsidR="00C431DD" w:rsidRPr="005A59C6" w:rsidRDefault="00C431DD" w:rsidP="005A59C6">
      <w:pPr>
        <w:numPr>
          <w:ilvl w:val="0"/>
          <w:numId w:val="14"/>
        </w:numPr>
        <w:tabs>
          <w:tab w:val="left" w:pos="630"/>
        </w:tabs>
        <w:spacing w:before="120"/>
        <w:contextualSpacing/>
        <w:jc w:val="both"/>
        <w:rPr>
          <w:szCs w:val="24"/>
        </w:rPr>
      </w:pPr>
      <w:r w:rsidRPr="005A59C6">
        <w:rPr>
          <w:szCs w:val="24"/>
        </w:rPr>
        <w:t>Avaliar e dar assistência técnica na área das ferramentas geoespaciais para fluxo de informação e tomada de decisões de prontidão e resposta a calamidades;</w:t>
      </w:r>
    </w:p>
    <w:p w:rsidR="00C431DD" w:rsidRPr="005A59C6" w:rsidRDefault="00C431DD" w:rsidP="005A59C6">
      <w:pPr>
        <w:numPr>
          <w:ilvl w:val="0"/>
          <w:numId w:val="14"/>
        </w:numPr>
        <w:tabs>
          <w:tab w:val="left" w:pos="630"/>
        </w:tabs>
        <w:spacing w:before="120"/>
        <w:contextualSpacing/>
        <w:jc w:val="both"/>
        <w:rPr>
          <w:szCs w:val="24"/>
        </w:rPr>
      </w:pPr>
      <w:r w:rsidRPr="005A59C6">
        <w:rPr>
          <w:szCs w:val="24"/>
        </w:rPr>
        <w:t>Assegurar coordenação relativa às ferramentas geoespaciais entre diferentes partes interessadas;</w:t>
      </w:r>
    </w:p>
    <w:p w:rsidR="00C431DD" w:rsidRPr="005A59C6" w:rsidRDefault="00C431DD" w:rsidP="005A59C6">
      <w:pPr>
        <w:numPr>
          <w:ilvl w:val="0"/>
          <w:numId w:val="14"/>
        </w:numPr>
        <w:tabs>
          <w:tab w:val="left" w:pos="630"/>
        </w:tabs>
        <w:spacing w:before="120"/>
        <w:contextualSpacing/>
        <w:jc w:val="both"/>
        <w:rPr>
          <w:szCs w:val="24"/>
        </w:rPr>
      </w:pPr>
      <w:r w:rsidRPr="005A59C6">
        <w:rPr>
          <w:szCs w:val="24"/>
        </w:rPr>
        <w:t>Apoiar ao INGD conforme requerido para o alcance dos objectivos da consultoria.</w:t>
      </w:r>
    </w:p>
    <w:p w:rsidR="00BE15BA" w:rsidRPr="005A59C6" w:rsidRDefault="00BE15BA" w:rsidP="005A59C6">
      <w:pPr>
        <w:tabs>
          <w:tab w:val="left" w:pos="630"/>
        </w:tabs>
        <w:spacing w:before="120"/>
        <w:ind w:left="360"/>
        <w:contextualSpacing/>
        <w:jc w:val="both"/>
        <w:rPr>
          <w:szCs w:val="24"/>
        </w:rPr>
      </w:pPr>
    </w:p>
    <w:p w:rsidR="00BE15BA" w:rsidRPr="005A59C6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5A59C6">
        <w:rPr>
          <w:szCs w:val="24"/>
        </w:rPr>
        <w:t xml:space="preserve">Assim, o INGD através do Programa de Gestão do Risco de Desastres e Resiliência em Moçambique convida consultores individuais para apresentarem Manifestações de Interesse para a realização da consultoria. </w:t>
      </w:r>
    </w:p>
    <w:p w:rsidR="00BE15BA" w:rsidRPr="005A59C6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C55DC4" w:rsidRPr="005A59C6" w:rsidRDefault="00C55DC4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5A59C6">
        <w:rPr>
          <w:szCs w:val="24"/>
        </w:rPr>
        <w:t xml:space="preserve">Os consultores serão </w:t>
      </w:r>
      <w:r w:rsidR="007E1029" w:rsidRPr="005A59C6">
        <w:rPr>
          <w:szCs w:val="24"/>
        </w:rPr>
        <w:t>seleccionados</w:t>
      </w:r>
      <w:r w:rsidRPr="005A59C6">
        <w:rPr>
          <w:szCs w:val="24"/>
        </w:rPr>
        <w:t xml:space="preserve"> de acordo com os procedimentos do Banco Mundial definidos no </w:t>
      </w:r>
      <w:r w:rsidR="004338F5" w:rsidRPr="005A59C6">
        <w:rPr>
          <w:szCs w:val="24"/>
        </w:rPr>
        <w:t xml:space="preserve">Regulamento de Aquisições do Banco Mundial para Mutuários da Financiamento de </w:t>
      </w:r>
      <w:r w:rsidR="00F077D0" w:rsidRPr="005A59C6">
        <w:rPr>
          <w:szCs w:val="24"/>
        </w:rPr>
        <w:t>Projectos</w:t>
      </w:r>
      <w:r w:rsidR="004338F5" w:rsidRPr="005A59C6">
        <w:rPr>
          <w:szCs w:val="24"/>
        </w:rPr>
        <w:t xml:space="preserve"> de Investimento (IPF) (datado de Julho de 2016, revisto em Novembro de 2017 e Agosto de 2018)</w:t>
      </w:r>
      <w:r w:rsidRPr="005A59C6">
        <w:rPr>
          <w:szCs w:val="24"/>
        </w:rPr>
        <w:t xml:space="preserve">, o método de </w:t>
      </w:r>
      <w:r w:rsidR="007E1029" w:rsidRPr="005A59C6">
        <w:rPr>
          <w:szCs w:val="24"/>
        </w:rPr>
        <w:t>selecção será Consultor Individual</w:t>
      </w:r>
      <w:r w:rsidRPr="005A59C6">
        <w:rPr>
          <w:szCs w:val="24"/>
        </w:rPr>
        <w:t>.</w:t>
      </w:r>
      <w:r w:rsidR="007E1029" w:rsidRPr="005A59C6">
        <w:rPr>
          <w:szCs w:val="24"/>
        </w:rPr>
        <w:t xml:space="preserve"> Espera-se que a</w:t>
      </w:r>
      <w:r w:rsidR="00B47819" w:rsidRPr="005A59C6">
        <w:rPr>
          <w:szCs w:val="24"/>
        </w:rPr>
        <w:t xml:space="preserve"> consultoria tenha a duração </w:t>
      </w:r>
      <w:r w:rsidR="001254B4" w:rsidRPr="005A59C6">
        <w:rPr>
          <w:szCs w:val="24"/>
        </w:rPr>
        <w:t>de 6 meses, renováveis dependendo da pertinência e resultados apresentados.</w:t>
      </w:r>
    </w:p>
    <w:p w:rsidR="009016FD" w:rsidRPr="005A59C6" w:rsidRDefault="009016FD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8467A3" w:rsidRPr="005A59C6" w:rsidRDefault="00C55DC4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5A59C6">
        <w:rPr>
          <w:szCs w:val="24"/>
        </w:rPr>
        <w:t>Os critérios de avaliação das manifestações de interesse são:</w:t>
      </w:r>
      <w:r w:rsidR="00507F9F" w:rsidRPr="005A59C6">
        <w:rPr>
          <w:szCs w:val="24"/>
        </w:rPr>
        <w:t xml:space="preserve"> </w:t>
      </w:r>
    </w:p>
    <w:p w:rsidR="001254B4" w:rsidRPr="005A59C6" w:rsidRDefault="001254B4" w:rsidP="005A59C6">
      <w:pPr>
        <w:numPr>
          <w:ilvl w:val="0"/>
          <w:numId w:val="17"/>
        </w:numPr>
        <w:jc w:val="both"/>
        <w:rPr>
          <w:szCs w:val="24"/>
        </w:rPr>
      </w:pPr>
      <w:r w:rsidRPr="005A59C6">
        <w:rPr>
          <w:szCs w:val="24"/>
        </w:rPr>
        <w:t xml:space="preserve">Mínimo, Mestrado em Sistemas de Informação Geográfica (SIG), Gestão do Risco de Desastres, Ciências Ambientais, Geografia ou Equivalente; </w:t>
      </w:r>
    </w:p>
    <w:p w:rsidR="001254B4" w:rsidRPr="005A59C6" w:rsidRDefault="001254B4" w:rsidP="005A59C6">
      <w:pPr>
        <w:numPr>
          <w:ilvl w:val="0"/>
          <w:numId w:val="17"/>
        </w:numPr>
        <w:jc w:val="both"/>
        <w:rPr>
          <w:szCs w:val="24"/>
        </w:rPr>
      </w:pPr>
      <w:r w:rsidRPr="005A59C6">
        <w:rPr>
          <w:szCs w:val="24"/>
        </w:rPr>
        <w:t>Mínimo de 5 anos de experiência no uso de Sistemas de Informação Geográfica e ferramentas geoespaciais;</w:t>
      </w:r>
    </w:p>
    <w:p w:rsidR="001254B4" w:rsidRPr="005A59C6" w:rsidRDefault="001254B4" w:rsidP="005A59C6">
      <w:pPr>
        <w:numPr>
          <w:ilvl w:val="0"/>
          <w:numId w:val="17"/>
        </w:numPr>
        <w:jc w:val="both"/>
        <w:rPr>
          <w:szCs w:val="24"/>
        </w:rPr>
      </w:pPr>
      <w:r w:rsidRPr="005A59C6">
        <w:rPr>
          <w:szCs w:val="24"/>
        </w:rPr>
        <w:lastRenderedPageBreak/>
        <w:t xml:space="preserve">Conhecimento profundo do funcionamento e aplicação de ferramentas Geoespaciais no apoio às actividades de prontidão e resposta às calamidades; </w:t>
      </w:r>
    </w:p>
    <w:p w:rsidR="001254B4" w:rsidRPr="005A59C6" w:rsidRDefault="001254B4" w:rsidP="005A59C6">
      <w:pPr>
        <w:numPr>
          <w:ilvl w:val="0"/>
          <w:numId w:val="17"/>
        </w:numPr>
        <w:jc w:val="both"/>
        <w:rPr>
          <w:szCs w:val="24"/>
        </w:rPr>
      </w:pPr>
      <w:r w:rsidRPr="005A59C6">
        <w:rPr>
          <w:szCs w:val="24"/>
        </w:rPr>
        <w:t xml:space="preserve">Experiência recente em gestão de projectos para implementação de Sistemas </w:t>
      </w:r>
      <w:proofErr w:type="spellStart"/>
      <w:r w:rsidRPr="005A59C6">
        <w:rPr>
          <w:szCs w:val="24"/>
        </w:rPr>
        <w:t>Web/GIS</w:t>
      </w:r>
      <w:proofErr w:type="spellEnd"/>
      <w:r w:rsidRPr="005A59C6">
        <w:rPr>
          <w:szCs w:val="24"/>
        </w:rPr>
        <w:t xml:space="preserve"> de apoio à decisão para gestão de risco de inundação, preferencialmente em Moçambique;</w:t>
      </w:r>
    </w:p>
    <w:p w:rsidR="001254B4" w:rsidRPr="0078735F" w:rsidRDefault="001254B4" w:rsidP="0078735F">
      <w:pPr>
        <w:numPr>
          <w:ilvl w:val="0"/>
          <w:numId w:val="17"/>
        </w:numPr>
        <w:jc w:val="both"/>
        <w:rPr>
          <w:szCs w:val="24"/>
        </w:rPr>
      </w:pPr>
      <w:r w:rsidRPr="005A59C6">
        <w:rPr>
          <w:szCs w:val="24"/>
        </w:rPr>
        <w:t>Experiência consolidada na gestão de dados geoespa</w:t>
      </w:r>
      <w:r w:rsidR="0078735F">
        <w:rPr>
          <w:szCs w:val="24"/>
        </w:rPr>
        <w:t>ciais em ambientes corporativos</w:t>
      </w:r>
      <w:r w:rsidRPr="0078735F">
        <w:rPr>
          <w:szCs w:val="24"/>
        </w:rPr>
        <w:t>;</w:t>
      </w:r>
    </w:p>
    <w:p w:rsidR="0026371D" w:rsidRDefault="001254B4" w:rsidP="0078735F">
      <w:pPr>
        <w:numPr>
          <w:ilvl w:val="0"/>
          <w:numId w:val="17"/>
        </w:numPr>
        <w:jc w:val="both"/>
        <w:rPr>
          <w:szCs w:val="24"/>
        </w:rPr>
      </w:pPr>
      <w:r w:rsidRPr="005A59C6">
        <w:rPr>
          <w:szCs w:val="24"/>
        </w:rPr>
        <w:t>Experiência na instalação e configuração de serviços da web de interoperabilidade geoespacial com padrões OGC / ISO-TC211</w:t>
      </w:r>
      <w:r w:rsidR="0078735F">
        <w:rPr>
          <w:szCs w:val="24"/>
        </w:rPr>
        <w:t>.</w:t>
      </w:r>
    </w:p>
    <w:p w:rsidR="0078735F" w:rsidRPr="0078735F" w:rsidRDefault="0078735F" w:rsidP="0078735F">
      <w:pPr>
        <w:ind w:left="360"/>
        <w:jc w:val="both"/>
        <w:rPr>
          <w:szCs w:val="24"/>
        </w:rPr>
      </w:pPr>
    </w:p>
    <w:p w:rsidR="007E1029" w:rsidRPr="005A59C6" w:rsidRDefault="008474BD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5A59C6">
        <w:rPr>
          <w:szCs w:val="24"/>
        </w:rPr>
        <w:t>Os candidatos interessados e com o perfil exigido deverão enviar as suas manifestações de interesse</w:t>
      </w:r>
      <w:r w:rsidR="009F5767" w:rsidRPr="005A59C6">
        <w:rPr>
          <w:szCs w:val="24"/>
        </w:rPr>
        <w:t xml:space="preserve"> para os seguintes endereços electrónicos</w:t>
      </w:r>
      <w:r w:rsidR="005A59C6" w:rsidRPr="005A59C6">
        <w:rPr>
          <w:szCs w:val="24"/>
        </w:rPr>
        <w:t xml:space="preserve">: </w:t>
      </w:r>
      <w:hyperlink r:id="rId9" w:history="1">
        <w:r w:rsidR="005A59C6" w:rsidRPr="005A59C6">
          <w:rPr>
            <w:rStyle w:val="Hyperlink"/>
            <w:b/>
            <w:szCs w:val="24"/>
          </w:rPr>
          <w:t>ppintane@gmail.com</w:t>
        </w:r>
      </w:hyperlink>
      <w:r w:rsidR="005A59C6" w:rsidRPr="005A59C6">
        <w:rPr>
          <w:b/>
          <w:szCs w:val="24"/>
        </w:rPr>
        <w:t xml:space="preserve">, e </w:t>
      </w:r>
      <w:proofErr w:type="spellStart"/>
      <w:r w:rsidR="005A59C6" w:rsidRPr="005A59C6">
        <w:rPr>
          <w:b/>
          <w:szCs w:val="24"/>
        </w:rPr>
        <w:t>Cc</w:t>
      </w:r>
      <w:proofErr w:type="spellEnd"/>
      <w:r w:rsidR="005A59C6" w:rsidRPr="005A59C6">
        <w:rPr>
          <w:b/>
          <w:szCs w:val="24"/>
        </w:rPr>
        <w:t xml:space="preserve">. </w:t>
      </w:r>
      <w:hyperlink r:id="rId10" w:history="1">
        <w:r w:rsidR="005A59C6" w:rsidRPr="005A59C6">
          <w:rPr>
            <w:rStyle w:val="Hyperlink"/>
            <w:b/>
            <w:szCs w:val="24"/>
          </w:rPr>
          <w:t>Antonio.queface@gmail.com</w:t>
        </w:r>
      </w:hyperlink>
      <w:r w:rsidR="005A59C6" w:rsidRPr="005A59C6">
        <w:rPr>
          <w:b/>
          <w:szCs w:val="24"/>
        </w:rPr>
        <w:t xml:space="preserve">, </w:t>
      </w:r>
      <w:r w:rsidR="005A59C6" w:rsidRPr="005A59C6">
        <w:rPr>
          <w:szCs w:val="24"/>
        </w:rPr>
        <w:t>até 30 de Março de 2021, pelas 15.00 horas</w:t>
      </w:r>
      <w:r w:rsidR="009F5767" w:rsidRPr="005A59C6">
        <w:rPr>
          <w:i/>
          <w:szCs w:val="24"/>
        </w:rPr>
        <w:t>.</w:t>
      </w:r>
      <w:r w:rsidR="009F5767" w:rsidRPr="005A59C6">
        <w:rPr>
          <w:szCs w:val="24"/>
        </w:rPr>
        <w:t xml:space="preserve"> </w:t>
      </w:r>
      <w:r w:rsidR="007E1029" w:rsidRPr="005A59C6">
        <w:rPr>
          <w:szCs w:val="24"/>
        </w:rPr>
        <w:t>O</w:t>
      </w:r>
      <w:r w:rsidR="005A59C6" w:rsidRPr="005A59C6">
        <w:rPr>
          <w:szCs w:val="24"/>
        </w:rPr>
        <w:t xml:space="preserve"> assunto do </w:t>
      </w:r>
      <w:proofErr w:type="gramStart"/>
      <w:r w:rsidR="005A59C6" w:rsidRPr="005A59C6">
        <w:rPr>
          <w:i/>
          <w:szCs w:val="24"/>
        </w:rPr>
        <w:t>email</w:t>
      </w:r>
      <w:proofErr w:type="gramEnd"/>
      <w:r w:rsidR="005A59C6" w:rsidRPr="005A59C6">
        <w:rPr>
          <w:i/>
          <w:szCs w:val="24"/>
        </w:rPr>
        <w:t xml:space="preserve"> </w:t>
      </w:r>
      <w:r w:rsidR="005A59C6" w:rsidRPr="005A59C6">
        <w:rPr>
          <w:szCs w:val="24"/>
        </w:rPr>
        <w:t xml:space="preserve">deve conter </w:t>
      </w:r>
      <w:r w:rsidR="007E1029" w:rsidRPr="005A59C6">
        <w:rPr>
          <w:szCs w:val="24"/>
        </w:rPr>
        <w:t xml:space="preserve">a seguinte referência: </w:t>
      </w:r>
      <w:r w:rsidR="00F077D0" w:rsidRPr="005A59C6">
        <w:rPr>
          <w:b/>
          <w:szCs w:val="24"/>
        </w:rPr>
        <w:t xml:space="preserve">REF. </w:t>
      </w:r>
      <w:r w:rsidR="00B20FFD" w:rsidRPr="005A59C6">
        <w:rPr>
          <w:b/>
          <w:szCs w:val="24"/>
        </w:rPr>
        <w:t>MZ-INGC-0</w:t>
      </w:r>
      <w:r w:rsidR="00901E07" w:rsidRPr="005A59C6">
        <w:rPr>
          <w:b/>
          <w:szCs w:val="24"/>
        </w:rPr>
        <w:t>5</w:t>
      </w:r>
      <w:r w:rsidR="00B20FFD" w:rsidRPr="005A59C6">
        <w:rPr>
          <w:b/>
          <w:szCs w:val="24"/>
        </w:rPr>
        <w:t>-CS-INDV</w:t>
      </w:r>
      <w:r w:rsidR="00B20FFD" w:rsidRPr="005A59C6">
        <w:rPr>
          <w:szCs w:val="24"/>
        </w:rPr>
        <w:t xml:space="preserve">, </w:t>
      </w:r>
      <w:r w:rsidR="00901E07" w:rsidRPr="005A59C6">
        <w:rPr>
          <w:szCs w:val="24"/>
        </w:rPr>
        <w:t>Desenvolvimento e Uso de Ferramentas Geoespaciais para Prontidão e Resposta a Desastres</w:t>
      </w:r>
      <w:r w:rsidR="007E1029" w:rsidRPr="005A59C6">
        <w:rPr>
          <w:szCs w:val="24"/>
        </w:rPr>
        <w:t>.</w:t>
      </w:r>
    </w:p>
    <w:p w:rsidR="005A59C6" w:rsidRPr="005A59C6" w:rsidRDefault="005A59C6" w:rsidP="005A59C6">
      <w:pPr>
        <w:jc w:val="both"/>
        <w:rPr>
          <w:szCs w:val="24"/>
        </w:rPr>
      </w:pPr>
    </w:p>
    <w:p w:rsidR="009F5767" w:rsidRPr="00A4402B" w:rsidRDefault="009F5767" w:rsidP="00A4402B">
      <w:pPr>
        <w:jc w:val="both"/>
        <w:rPr>
          <w:b/>
          <w:szCs w:val="24"/>
        </w:rPr>
      </w:pPr>
      <w:r w:rsidRPr="005A59C6">
        <w:rPr>
          <w:szCs w:val="24"/>
        </w:rPr>
        <w:t>Os Termos de Referência podem ser obtidos através do seguinte</w:t>
      </w:r>
      <w:r w:rsidR="004314D6">
        <w:rPr>
          <w:szCs w:val="24"/>
        </w:rPr>
        <w:t xml:space="preserve"> </w:t>
      </w:r>
      <w:r w:rsidR="004314D6" w:rsidRPr="004314D6">
        <w:rPr>
          <w:i/>
          <w:szCs w:val="24"/>
        </w:rPr>
        <w:t>web</w:t>
      </w:r>
      <w:r w:rsidRPr="004314D6">
        <w:rPr>
          <w:i/>
          <w:szCs w:val="24"/>
        </w:rPr>
        <w:t>:</w:t>
      </w:r>
      <w:r w:rsidRPr="005A59C6">
        <w:rPr>
          <w:color w:val="FF0000"/>
          <w:szCs w:val="24"/>
        </w:rPr>
        <w:t xml:space="preserve"> </w:t>
      </w:r>
      <w:hyperlink r:id="rId11" w:history="1">
        <w:r w:rsidR="00A4402B" w:rsidRPr="00336538">
          <w:rPr>
            <w:rStyle w:val="Hyperlink"/>
            <w:b/>
            <w:szCs w:val="24"/>
          </w:rPr>
          <w:t>www.ingd.gov.mz/anuncios</w:t>
        </w:r>
      </w:hyperlink>
      <w:r w:rsidR="00A4402B">
        <w:rPr>
          <w:b/>
          <w:szCs w:val="24"/>
        </w:rPr>
        <w:t xml:space="preserve">. </w:t>
      </w:r>
    </w:p>
    <w:p w:rsidR="009F5767" w:rsidRPr="005A59C6" w:rsidRDefault="009F5767" w:rsidP="005A59C6">
      <w:pPr>
        <w:tabs>
          <w:tab w:val="left" w:pos="1980"/>
          <w:tab w:val="center" w:pos="3312"/>
        </w:tabs>
        <w:contextualSpacing/>
        <w:jc w:val="both"/>
        <w:rPr>
          <w:b/>
          <w:szCs w:val="24"/>
        </w:rPr>
      </w:pPr>
    </w:p>
    <w:p w:rsidR="00BF63DC" w:rsidRPr="005A59C6" w:rsidRDefault="00BF63DC" w:rsidP="005A59C6">
      <w:pPr>
        <w:tabs>
          <w:tab w:val="left" w:pos="1980"/>
          <w:tab w:val="center" w:pos="3312"/>
        </w:tabs>
        <w:contextualSpacing/>
        <w:jc w:val="both"/>
        <w:rPr>
          <w:b/>
          <w:szCs w:val="24"/>
        </w:rPr>
      </w:pPr>
      <w:r w:rsidRPr="005A59C6">
        <w:rPr>
          <w:b/>
          <w:szCs w:val="24"/>
        </w:rPr>
        <w:t>Endereço:</w:t>
      </w:r>
    </w:p>
    <w:p w:rsidR="006538E6" w:rsidRPr="005A59C6" w:rsidRDefault="00B47819" w:rsidP="005A59C6">
      <w:pPr>
        <w:contextualSpacing/>
        <w:mirrorIndents/>
        <w:rPr>
          <w:szCs w:val="24"/>
        </w:rPr>
      </w:pPr>
      <w:r w:rsidRPr="005A59C6">
        <w:rPr>
          <w:szCs w:val="24"/>
        </w:rPr>
        <w:t>Instituto Nacional de Gestão e Redução do Risco de Desastres</w:t>
      </w:r>
    </w:p>
    <w:p w:rsidR="00A451C8" w:rsidRPr="005A59C6" w:rsidRDefault="00A451C8" w:rsidP="005A59C6">
      <w:pPr>
        <w:contextualSpacing/>
        <w:mirrorIndents/>
        <w:rPr>
          <w:b/>
          <w:szCs w:val="24"/>
        </w:rPr>
      </w:pPr>
      <w:r w:rsidRPr="005A59C6">
        <w:rPr>
          <w:b/>
          <w:szCs w:val="24"/>
        </w:rPr>
        <w:t>Programa de Gestão do Risco de Desastres e Resiliência em Moçambique</w:t>
      </w:r>
    </w:p>
    <w:p w:rsidR="006538E6" w:rsidRPr="005A59C6" w:rsidRDefault="006538E6" w:rsidP="005A59C6">
      <w:pPr>
        <w:tabs>
          <w:tab w:val="left" w:pos="0"/>
        </w:tabs>
        <w:suppressAutoHyphens/>
        <w:contextualSpacing/>
        <w:mirrorIndents/>
        <w:jc w:val="both"/>
        <w:rPr>
          <w:szCs w:val="24"/>
        </w:rPr>
      </w:pPr>
      <w:r w:rsidRPr="005A59C6">
        <w:rPr>
          <w:szCs w:val="24"/>
        </w:rPr>
        <w:t>Rua do Gare de Mercadorias, AV.</w:t>
      </w:r>
      <w:r w:rsidR="00F077D0" w:rsidRPr="005A59C6">
        <w:rPr>
          <w:szCs w:val="24"/>
        </w:rPr>
        <w:t xml:space="preserve"> </w:t>
      </w:r>
      <w:r w:rsidR="00AE1243" w:rsidRPr="005A59C6">
        <w:rPr>
          <w:szCs w:val="24"/>
        </w:rPr>
        <w:t>Das</w:t>
      </w:r>
      <w:r w:rsidRPr="005A59C6">
        <w:rPr>
          <w:szCs w:val="24"/>
        </w:rPr>
        <w:t xml:space="preserve"> FPLM – Maputo</w:t>
      </w:r>
    </w:p>
    <w:p w:rsidR="006538E6" w:rsidRPr="005A59C6" w:rsidRDefault="006538E6" w:rsidP="005A59C6">
      <w:pPr>
        <w:tabs>
          <w:tab w:val="left" w:pos="0"/>
        </w:tabs>
        <w:suppressAutoHyphens/>
        <w:contextualSpacing/>
        <w:mirrorIndents/>
        <w:jc w:val="both"/>
        <w:rPr>
          <w:szCs w:val="24"/>
        </w:rPr>
      </w:pPr>
      <w:r w:rsidRPr="005A59C6">
        <w:rPr>
          <w:szCs w:val="24"/>
        </w:rPr>
        <w:t>Telefone: 21477211/22</w:t>
      </w:r>
    </w:p>
    <w:p w:rsidR="009F5767" w:rsidRPr="005A59C6" w:rsidRDefault="005A59C6" w:rsidP="005A59C6">
      <w:pPr>
        <w:contextualSpacing/>
        <w:jc w:val="both"/>
        <w:rPr>
          <w:szCs w:val="24"/>
        </w:rPr>
      </w:pPr>
      <w:r w:rsidRPr="005A59C6">
        <w:rPr>
          <w:szCs w:val="24"/>
        </w:rPr>
        <w:t xml:space="preserve"> </w:t>
      </w:r>
    </w:p>
    <w:sectPr w:rsidR="009F5767" w:rsidRPr="005A59C6" w:rsidSect="008474BD">
      <w:footerReference w:type="default" r:id="rId12"/>
      <w:pgSz w:w="12240" w:h="15840"/>
      <w:pgMar w:top="720" w:right="1440" w:bottom="720" w:left="153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8B" w:rsidRDefault="009B048B" w:rsidP="005E3E2E">
      <w:r>
        <w:separator/>
      </w:r>
    </w:p>
  </w:endnote>
  <w:endnote w:type="continuationSeparator" w:id="0">
    <w:p w:rsidR="009B048B" w:rsidRDefault="009B048B" w:rsidP="005E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846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3E2E" w:rsidRDefault="005E3E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9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3E2E" w:rsidRDefault="005E3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8B" w:rsidRDefault="009B048B" w:rsidP="005E3E2E">
      <w:r>
        <w:separator/>
      </w:r>
    </w:p>
  </w:footnote>
  <w:footnote w:type="continuationSeparator" w:id="0">
    <w:p w:rsidR="009B048B" w:rsidRDefault="009B048B" w:rsidP="005E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617"/>
    <w:multiLevelType w:val="hybridMultilevel"/>
    <w:tmpl w:val="24C89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4326"/>
    <w:multiLevelType w:val="hybridMultilevel"/>
    <w:tmpl w:val="8BB8A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371F"/>
    <w:multiLevelType w:val="hybridMultilevel"/>
    <w:tmpl w:val="A998D70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928E9"/>
    <w:multiLevelType w:val="hybridMultilevel"/>
    <w:tmpl w:val="75B2C1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42FBF"/>
    <w:multiLevelType w:val="hybridMultilevel"/>
    <w:tmpl w:val="CBE6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AD3C65"/>
    <w:multiLevelType w:val="hybridMultilevel"/>
    <w:tmpl w:val="7AF8E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44DC9"/>
    <w:multiLevelType w:val="hybridMultilevel"/>
    <w:tmpl w:val="93E0644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4813C4">
      <w:numFmt w:val="bullet"/>
      <w:lvlText w:val="•"/>
      <w:lvlJc w:val="left"/>
      <w:pPr>
        <w:ind w:left="1080" w:hanging="360"/>
      </w:pPr>
      <w:rPr>
        <w:rFonts w:ascii="Bookman Old Style" w:eastAsia="Calibri" w:hAnsi="Bookman Old Style" w:cs="Segoe UI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F435F"/>
    <w:multiLevelType w:val="hybridMultilevel"/>
    <w:tmpl w:val="AAF89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B340C3"/>
    <w:multiLevelType w:val="hybridMultilevel"/>
    <w:tmpl w:val="6B9002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86E85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B1F95"/>
    <w:multiLevelType w:val="hybridMultilevel"/>
    <w:tmpl w:val="BA3036D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FFF2F8F"/>
    <w:multiLevelType w:val="hybridMultilevel"/>
    <w:tmpl w:val="D3283E00"/>
    <w:lvl w:ilvl="0" w:tplc="D13EC0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0E79"/>
    <w:multiLevelType w:val="hybridMultilevel"/>
    <w:tmpl w:val="BDCA9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71DEB"/>
    <w:multiLevelType w:val="hybridMultilevel"/>
    <w:tmpl w:val="021A1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C821405"/>
    <w:multiLevelType w:val="hybridMultilevel"/>
    <w:tmpl w:val="67D274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E6B58F6"/>
    <w:multiLevelType w:val="hybridMultilevel"/>
    <w:tmpl w:val="211C8FD6"/>
    <w:lvl w:ilvl="0" w:tplc="31EEBF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26714"/>
    <w:multiLevelType w:val="hybridMultilevel"/>
    <w:tmpl w:val="E29AD86E"/>
    <w:lvl w:ilvl="0" w:tplc="7876B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3722D0"/>
    <w:multiLevelType w:val="hybridMultilevel"/>
    <w:tmpl w:val="896ECF0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4"/>
  </w:num>
  <w:num w:numId="6">
    <w:abstractNumId w:val="15"/>
  </w:num>
  <w:num w:numId="7">
    <w:abstractNumId w:val="13"/>
  </w:num>
  <w:num w:numId="8">
    <w:abstractNumId w:val="9"/>
  </w:num>
  <w:num w:numId="9">
    <w:abstractNumId w:val="16"/>
  </w:num>
  <w:num w:numId="10">
    <w:abstractNumId w:val="12"/>
  </w:num>
  <w:num w:numId="11">
    <w:abstractNumId w:val="10"/>
  </w:num>
  <w:num w:numId="12">
    <w:abstractNumId w:val="1"/>
  </w:num>
  <w:num w:numId="13">
    <w:abstractNumId w:val="8"/>
  </w:num>
  <w:num w:numId="14">
    <w:abstractNumId w:val="7"/>
  </w:num>
  <w:num w:numId="15">
    <w:abstractNumId w:val="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DC"/>
    <w:rsid w:val="000052E8"/>
    <w:rsid w:val="000217AB"/>
    <w:rsid w:val="000420EF"/>
    <w:rsid w:val="00090E8A"/>
    <w:rsid w:val="000C2708"/>
    <w:rsid w:val="001254B4"/>
    <w:rsid w:val="0013195C"/>
    <w:rsid w:val="001600A0"/>
    <w:rsid w:val="00172C7C"/>
    <w:rsid w:val="00192F9E"/>
    <w:rsid w:val="00252CC9"/>
    <w:rsid w:val="0026371D"/>
    <w:rsid w:val="00265A25"/>
    <w:rsid w:val="002A6346"/>
    <w:rsid w:val="002B5EFF"/>
    <w:rsid w:val="00325518"/>
    <w:rsid w:val="003342ED"/>
    <w:rsid w:val="003C6450"/>
    <w:rsid w:val="004314D6"/>
    <w:rsid w:val="004338F5"/>
    <w:rsid w:val="004508AE"/>
    <w:rsid w:val="00472F57"/>
    <w:rsid w:val="004D311F"/>
    <w:rsid w:val="004D314F"/>
    <w:rsid w:val="00507F9F"/>
    <w:rsid w:val="00532A44"/>
    <w:rsid w:val="00540997"/>
    <w:rsid w:val="00544489"/>
    <w:rsid w:val="005676C9"/>
    <w:rsid w:val="005A59C6"/>
    <w:rsid w:val="005D24D4"/>
    <w:rsid w:val="005E3E2E"/>
    <w:rsid w:val="00623B6E"/>
    <w:rsid w:val="00637A97"/>
    <w:rsid w:val="006538E6"/>
    <w:rsid w:val="006A7117"/>
    <w:rsid w:val="006B3E89"/>
    <w:rsid w:val="006E011F"/>
    <w:rsid w:val="007007B9"/>
    <w:rsid w:val="00704F31"/>
    <w:rsid w:val="00717962"/>
    <w:rsid w:val="00730E5D"/>
    <w:rsid w:val="0074655A"/>
    <w:rsid w:val="007547F3"/>
    <w:rsid w:val="0078735F"/>
    <w:rsid w:val="007C7D74"/>
    <w:rsid w:val="007D3554"/>
    <w:rsid w:val="007E1029"/>
    <w:rsid w:val="008072E4"/>
    <w:rsid w:val="00821FAE"/>
    <w:rsid w:val="008467A3"/>
    <w:rsid w:val="008474BD"/>
    <w:rsid w:val="00885331"/>
    <w:rsid w:val="008A4BFE"/>
    <w:rsid w:val="009016FD"/>
    <w:rsid w:val="00901E07"/>
    <w:rsid w:val="00951EE9"/>
    <w:rsid w:val="00970087"/>
    <w:rsid w:val="009825AC"/>
    <w:rsid w:val="00992034"/>
    <w:rsid w:val="009B048B"/>
    <w:rsid w:val="009E1892"/>
    <w:rsid w:val="009F5767"/>
    <w:rsid w:val="00A00A0A"/>
    <w:rsid w:val="00A4402B"/>
    <w:rsid w:val="00A451C8"/>
    <w:rsid w:val="00A73093"/>
    <w:rsid w:val="00A81A04"/>
    <w:rsid w:val="00A8556A"/>
    <w:rsid w:val="00A90F41"/>
    <w:rsid w:val="00AA0235"/>
    <w:rsid w:val="00AE1243"/>
    <w:rsid w:val="00B06FE9"/>
    <w:rsid w:val="00B20FFD"/>
    <w:rsid w:val="00B47819"/>
    <w:rsid w:val="00BE15BA"/>
    <w:rsid w:val="00BF63DC"/>
    <w:rsid w:val="00C05E6B"/>
    <w:rsid w:val="00C22A1F"/>
    <w:rsid w:val="00C269F8"/>
    <w:rsid w:val="00C26FF7"/>
    <w:rsid w:val="00C2762B"/>
    <w:rsid w:val="00C431DD"/>
    <w:rsid w:val="00C55DC4"/>
    <w:rsid w:val="00D16A1A"/>
    <w:rsid w:val="00D5195B"/>
    <w:rsid w:val="00D636FE"/>
    <w:rsid w:val="00D76952"/>
    <w:rsid w:val="00DD54BE"/>
    <w:rsid w:val="00E35681"/>
    <w:rsid w:val="00E74C7B"/>
    <w:rsid w:val="00E80F3F"/>
    <w:rsid w:val="00EB5AB2"/>
    <w:rsid w:val="00EF6468"/>
    <w:rsid w:val="00F077D0"/>
    <w:rsid w:val="00F2343F"/>
    <w:rsid w:val="00F3653D"/>
    <w:rsid w:val="00F42897"/>
    <w:rsid w:val="00F9619A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FFB7"/>
  <w15:chartTrackingRefBased/>
  <w15:docId w15:val="{58568EF2-D029-41B8-AB79-E000E4B0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C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06FE9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9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,List Paragraph (numbered (a)),List_Paragraph,Multilevel para_II,List Paragraph1,Akapit z listą BS,Bullet1,References,ReferencesCxSpLast,body bullets,Bullets,Numbered List Paragraph,Paragraphe  revu,Liste 1,List Bullet Mary"/>
    <w:basedOn w:val="Normal"/>
    <w:link w:val="ListParagraphChar"/>
    <w:uiPriority w:val="34"/>
    <w:qFormat/>
    <w:rsid w:val="00BF63DC"/>
    <w:pPr>
      <w:ind w:left="720"/>
      <w:contextualSpacing/>
    </w:pPr>
  </w:style>
  <w:style w:type="table" w:styleId="TableGrid">
    <w:name w:val="Table Grid"/>
    <w:basedOn w:val="TableNormal"/>
    <w:uiPriority w:val="39"/>
    <w:rsid w:val="00AA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46"/>
    <w:rPr>
      <w:rFonts w:ascii="Segoe UI" w:eastAsia="Times New Roman" w:hAnsi="Segoe UI" w:cs="Segoe UI"/>
      <w:sz w:val="18"/>
      <w:szCs w:val="18"/>
      <w:lang w:val="pt-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5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5DC4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06FE9"/>
    <w:rPr>
      <w:rFonts w:ascii="Times New Roman" w:eastAsia="Times New Roman" w:hAnsi="Times New Roman" w:cs="Times New Roman"/>
      <w:b/>
      <w:bCs/>
      <w:sz w:val="24"/>
      <w:szCs w:val="20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5E3E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2E"/>
    <w:rPr>
      <w:rFonts w:ascii="Times New Roman" w:eastAsia="Times New Roman" w:hAnsi="Times New Roman" w:cs="Times New Roman"/>
      <w:sz w:val="24"/>
      <w:szCs w:val="2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E3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2E"/>
    <w:rPr>
      <w:rFonts w:ascii="Times New Roman" w:eastAsia="Times New Roman" w:hAnsi="Times New Roman" w:cs="Times New Roman"/>
      <w:sz w:val="24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A00A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5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4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4B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4B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9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pt-PT"/>
    </w:rPr>
  </w:style>
  <w:style w:type="paragraph" w:styleId="BodyText">
    <w:name w:val="Body Text"/>
    <w:basedOn w:val="Normal"/>
    <w:link w:val="BodyTextChar"/>
    <w:rsid w:val="00540997"/>
    <w:pPr>
      <w:ind w:right="340"/>
      <w:jc w:val="both"/>
    </w:pPr>
    <w:rPr>
      <w:lang w:val="pt-BR" w:eastAsia="pt-BR"/>
    </w:rPr>
  </w:style>
  <w:style w:type="character" w:customStyle="1" w:styleId="BodyTextChar">
    <w:name w:val="Body Text Char"/>
    <w:basedOn w:val="DefaultParagraphFont"/>
    <w:link w:val="BodyText"/>
    <w:rsid w:val="00540997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Default">
    <w:name w:val="Default"/>
    <w:link w:val="DefaultChar"/>
    <w:rsid w:val="00F234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pt-PT" w:eastAsia="pt-PT"/>
    </w:rPr>
  </w:style>
  <w:style w:type="character" w:customStyle="1" w:styleId="DefaultChar">
    <w:name w:val="Default Char"/>
    <w:link w:val="Default"/>
    <w:rsid w:val="00F2343F"/>
    <w:rPr>
      <w:rFonts w:ascii="Arial" w:eastAsia="Times New Roman" w:hAnsi="Arial" w:cs="Times New Roman"/>
      <w:color w:val="000000"/>
      <w:sz w:val="24"/>
      <w:szCs w:val="24"/>
      <w:lang w:val="pt-PT" w:eastAsia="pt-PT"/>
    </w:rPr>
  </w:style>
  <w:style w:type="paragraph" w:styleId="FootnoteText">
    <w:name w:val="footnote text"/>
    <w:basedOn w:val="Normal"/>
    <w:link w:val="FootnoteTextChar"/>
    <w:unhideWhenUsed/>
    <w:rsid w:val="00F2343F"/>
    <w:pPr>
      <w:jc w:val="both"/>
    </w:pPr>
    <w:rPr>
      <w:rFonts w:ascii="Arial Narrow" w:eastAsia="Calibri" w:hAnsi="Arial Narrow"/>
      <w:sz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F2343F"/>
    <w:rPr>
      <w:rFonts w:ascii="Arial Narrow" w:eastAsia="Calibri" w:hAnsi="Arial Narrow" w:cs="Times New Roman"/>
      <w:sz w:val="20"/>
      <w:szCs w:val="20"/>
      <w:lang w:val="pt-PT" w:eastAsia="x-none"/>
    </w:rPr>
  </w:style>
  <w:style w:type="character" w:styleId="FootnoteReference">
    <w:name w:val="footnote reference"/>
    <w:unhideWhenUsed/>
    <w:rsid w:val="00F2343F"/>
    <w:rPr>
      <w:vertAlign w:val="superscript"/>
    </w:rPr>
  </w:style>
  <w:style w:type="character" w:customStyle="1" w:styleId="ListParagraphChar">
    <w:name w:val="List Paragraph Char"/>
    <w:aliases w:val="Table bullet Char,List Paragraph (numbered (a)) Char,List_Paragraph Char,Multilevel para_II Char,List Paragraph1 Char,Akapit z listą BS Char,Bullet1 Char,References Char,ReferencesCxSpLast Char,body bullets Char,Bullets Char"/>
    <w:link w:val="ListParagraph"/>
    <w:uiPriority w:val="34"/>
    <w:qFormat/>
    <w:locked/>
    <w:rsid w:val="007007B9"/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Heading1Char">
    <w:name w:val="Heading 1 Char"/>
    <w:basedOn w:val="DefaultParagraphFont"/>
    <w:link w:val="Heading1"/>
    <w:uiPriority w:val="9"/>
    <w:rsid w:val="00252C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paragraph" w:customStyle="1" w:styleId="m5043855748185633779ydpc7a8d5edmsonormal">
    <w:name w:val="m5043855748185633779ydpc7a8d5edmsonormal"/>
    <w:basedOn w:val="Normal"/>
    <w:rsid w:val="00623B6E"/>
    <w:pPr>
      <w:spacing w:before="100" w:beforeAutospacing="1" w:after="100" w:afterAutospacing="1"/>
    </w:pPr>
    <w:rPr>
      <w:szCs w:val="24"/>
      <w:lang w:val="en-US"/>
    </w:rPr>
  </w:style>
  <w:style w:type="character" w:styleId="Emphasis">
    <w:name w:val="Emphasis"/>
    <w:uiPriority w:val="20"/>
    <w:qFormat/>
    <w:rsid w:val="00172C7C"/>
    <w:rPr>
      <w:i/>
      <w:iCs/>
    </w:rPr>
  </w:style>
  <w:style w:type="character" w:customStyle="1" w:styleId="gmail-acopre1">
    <w:name w:val="gmail-acopre1"/>
    <w:rsid w:val="00172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gd.gov.mz/anunci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tonio.quefa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intan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DBA6-5DCE-4808-8922-605722CA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 Matola</dc:creator>
  <cp:keywords/>
  <dc:description/>
  <cp:lastModifiedBy>USER</cp:lastModifiedBy>
  <cp:revision>8</cp:revision>
  <cp:lastPrinted>2021-03-12T09:32:00Z</cp:lastPrinted>
  <dcterms:created xsi:type="dcterms:W3CDTF">2021-03-01T13:16:00Z</dcterms:created>
  <dcterms:modified xsi:type="dcterms:W3CDTF">2021-03-16T13:00:00Z</dcterms:modified>
</cp:coreProperties>
</file>