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C9" w:rsidRPr="00C53FCB"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C53FCB">
        <w:rPr>
          <w:rFonts w:ascii="Times New Roman" w:eastAsia="Calibri" w:hAnsi="Times New Roman"/>
          <w:noProof/>
          <w:sz w:val="24"/>
          <w:szCs w:val="24"/>
          <w:lang w:val="pt-PT" w:eastAsia="pt-PT"/>
        </w:rPr>
        <w:drawing>
          <wp:inline distT="0" distB="0" distL="0" distR="0" wp14:anchorId="6F8AF063" wp14:editId="40350891">
            <wp:extent cx="692150" cy="67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56" cy="685543"/>
                    </a:xfrm>
                    <a:prstGeom prst="rect">
                      <a:avLst/>
                    </a:prstGeom>
                    <a:noFill/>
                    <a:ln>
                      <a:noFill/>
                    </a:ln>
                  </pic:spPr>
                </pic:pic>
              </a:graphicData>
            </a:graphic>
          </wp:inline>
        </w:drawing>
      </w:r>
    </w:p>
    <w:p w:rsidR="00252CC9" w:rsidRPr="00C53FCB"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C53FCB">
        <w:rPr>
          <w:rFonts w:ascii="Times New Roman" w:hAnsi="Times New Roman"/>
          <w:sz w:val="24"/>
          <w:szCs w:val="24"/>
          <w:lang w:val="pt-PT"/>
        </w:rPr>
        <w:t>REPÚBLICA DE MOÇAMBIQUE</w:t>
      </w:r>
    </w:p>
    <w:p w:rsidR="00252CC9" w:rsidRPr="00C53FCB"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C53FCB">
        <w:rPr>
          <w:rFonts w:ascii="Times New Roman" w:hAnsi="Times New Roman"/>
          <w:sz w:val="24"/>
          <w:szCs w:val="24"/>
          <w:lang w:val="pt-PT"/>
        </w:rPr>
        <w:t>INSTITUTO NACIONAL DE GESTÃO E REDUÇÃO DO RISCO DE DESASTRES</w:t>
      </w:r>
    </w:p>
    <w:p w:rsidR="00BE15BA" w:rsidRPr="00C53FCB" w:rsidRDefault="00252CC9" w:rsidP="00F0179B">
      <w:pPr>
        <w:spacing w:after="0" w:line="240" w:lineRule="auto"/>
        <w:jc w:val="center"/>
        <w:rPr>
          <w:rFonts w:ascii="Times New Roman" w:hAnsi="Times New Roman"/>
          <w:bCs/>
          <w:iCs/>
          <w:sz w:val="24"/>
          <w:szCs w:val="24"/>
          <w:lang w:val="pt-PT"/>
        </w:rPr>
      </w:pPr>
      <w:r w:rsidRPr="00C53FCB">
        <w:rPr>
          <w:rFonts w:ascii="Times New Roman" w:hAnsi="Times New Roman"/>
          <w:sz w:val="24"/>
          <w:szCs w:val="24"/>
          <w:lang w:val="pt-PT"/>
        </w:rPr>
        <w:t>PROGRAMA DE GESTÃO DO RISCO DE DESASTRES E RESILIÊNCIA</w:t>
      </w:r>
      <w:r w:rsidR="00F077D0" w:rsidRPr="00C53FCB">
        <w:rPr>
          <w:rFonts w:ascii="Times New Roman" w:hAnsi="Times New Roman"/>
          <w:sz w:val="24"/>
          <w:szCs w:val="24"/>
          <w:lang w:val="pt-PT"/>
        </w:rPr>
        <w:t xml:space="preserve"> EM MOÇAMBIQUE</w:t>
      </w:r>
      <w:r w:rsidR="00BE15BA" w:rsidRPr="00C53FCB">
        <w:rPr>
          <w:rFonts w:ascii="Times New Roman" w:hAnsi="Times New Roman"/>
          <w:sz w:val="24"/>
          <w:szCs w:val="24"/>
          <w:lang w:val="pt-PT"/>
        </w:rPr>
        <w:t xml:space="preserve"> </w:t>
      </w:r>
      <w:r w:rsidR="00BE15BA" w:rsidRPr="00C53FCB">
        <w:rPr>
          <w:rFonts w:ascii="Times New Roman" w:hAnsi="Times New Roman"/>
          <w:bCs/>
          <w:iCs/>
          <w:sz w:val="24"/>
          <w:szCs w:val="24"/>
          <w:lang w:val="pt-PT"/>
        </w:rPr>
        <w:t>(P166437)</w:t>
      </w:r>
    </w:p>
    <w:p w:rsidR="00252CC9" w:rsidRPr="00C53FCB"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p>
    <w:p w:rsidR="00252CC9" w:rsidRPr="00C53FCB" w:rsidRDefault="00252CC9" w:rsidP="00F0179B">
      <w:pPr>
        <w:tabs>
          <w:tab w:val="left" w:pos="3540"/>
          <w:tab w:val="center" w:pos="4680"/>
        </w:tabs>
        <w:suppressAutoHyphens/>
        <w:spacing w:after="0" w:line="240" w:lineRule="auto"/>
        <w:contextualSpacing/>
        <w:jc w:val="center"/>
        <w:outlineLvl w:val="0"/>
        <w:rPr>
          <w:rFonts w:ascii="Times New Roman" w:hAnsi="Times New Roman"/>
          <w:b/>
          <w:sz w:val="24"/>
          <w:szCs w:val="24"/>
          <w:lang w:val="pt-PT"/>
        </w:rPr>
      </w:pPr>
    </w:p>
    <w:p w:rsidR="00BE15BA" w:rsidRPr="00C53FCB" w:rsidRDefault="001C05EA" w:rsidP="00F0179B">
      <w:pPr>
        <w:spacing w:after="0" w:line="240" w:lineRule="auto"/>
        <w:jc w:val="center"/>
        <w:rPr>
          <w:rFonts w:ascii="Times New Roman" w:hAnsi="Times New Roman"/>
          <w:b/>
          <w:sz w:val="24"/>
          <w:szCs w:val="24"/>
          <w:lang w:val="pt-PT"/>
        </w:rPr>
      </w:pPr>
      <w:r w:rsidRPr="00C53FCB">
        <w:rPr>
          <w:rFonts w:ascii="Times New Roman" w:hAnsi="Times New Roman"/>
          <w:b/>
          <w:sz w:val="24"/>
          <w:szCs w:val="24"/>
          <w:lang w:val="pt-PT"/>
        </w:rPr>
        <w:t>Solicitação de Manifestação de Interesse</w:t>
      </w:r>
    </w:p>
    <w:p w:rsidR="00C431DD" w:rsidRPr="00C53FCB" w:rsidRDefault="00BE4441" w:rsidP="00F0179B">
      <w:pPr>
        <w:spacing w:after="0" w:line="240" w:lineRule="auto"/>
        <w:ind w:left="720" w:right="-450" w:hanging="1080"/>
        <w:jc w:val="center"/>
        <w:rPr>
          <w:rFonts w:ascii="Times New Roman" w:hAnsi="Times New Roman"/>
          <w:b/>
          <w:sz w:val="24"/>
          <w:szCs w:val="24"/>
          <w:lang w:val="pt-PT"/>
        </w:rPr>
      </w:pPr>
      <w:r w:rsidRPr="00C53FCB">
        <w:rPr>
          <w:rFonts w:ascii="Times New Roman" w:hAnsi="Times New Roman"/>
          <w:sz w:val="24"/>
          <w:szCs w:val="24"/>
          <w:lang w:val="pt-PT"/>
        </w:rPr>
        <w:t xml:space="preserve">Título da consultoria: Agente de Verificação Independente para a Validação de Indicadores de Desembolso </w:t>
      </w:r>
      <w:r w:rsidR="00F74887" w:rsidRPr="00C53FCB">
        <w:rPr>
          <w:rFonts w:ascii="Times New Roman" w:hAnsi="Times New Roman"/>
          <w:sz w:val="24"/>
          <w:szCs w:val="24"/>
          <w:lang w:val="pt-PT"/>
        </w:rPr>
        <w:t>(</w:t>
      </w:r>
      <w:r w:rsidRPr="00C53FCB">
        <w:rPr>
          <w:rFonts w:ascii="Times New Roman" w:hAnsi="Times New Roman"/>
          <w:sz w:val="24"/>
          <w:szCs w:val="24"/>
          <w:lang w:val="pt-PT"/>
        </w:rPr>
        <w:t>DLI</w:t>
      </w:r>
      <w:r w:rsidR="00F74887" w:rsidRPr="00C53FCB">
        <w:rPr>
          <w:rFonts w:ascii="Times New Roman" w:hAnsi="Times New Roman"/>
          <w:sz w:val="24"/>
          <w:szCs w:val="24"/>
          <w:lang w:val="pt-PT"/>
        </w:rPr>
        <w:t>) 6</w:t>
      </w:r>
    </w:p>
    <w:p w:rsidR="00C431DD" w:rsidRPr="00C53FCB" w:rsidRDefault="00C431DD" w:rsidP="00F0179B">
      <w:pPr>
        <w:spacing w:after="0" w:line="240" w:lineRule="auto"/>
        <w:jc w:val="center"/>
        <w:rPr>
          <w:rFonts w:ascii="Times New Roman" w:hAnsi="Times New Roman"/>
          <w:b/>
          <w:sz w:val="24"/>
          <w:szCs w:val="24"/>
          <w:lang w:val="pt-PT"/>
        </w:rPr>
      </w:pPr>
    </w:p>
    <w:p w:rsidR="00BE4441" w:rsidRPr="00C53FCB" w:rsidRDefault="00F22D26" w:rsidP="00F0179B">
      <w:pPr>
        <w:tabs>
          <w:tab w:val="left" w:pos="0"/>
          <w:tab w:val="left" w:pos="1985"/>
        </w:tabs>
        <w:spacing w:after="0" w:line="240" w:lineRule="auto"/>
        <w:contextualSpacing/>
        <w:mirrorIndents/>
        <w:jc w:val="both"/>
        <w:rPr>
          <w:rFonts w:ascii="Times New Roman" w:hAnsi="Times New Roman"/>
          <w:b/>
          <w:sz w:val="24"/>
          <w:szCs w:val="24"/>
          <w:lang w:val="pt-PT"/>
        </w:rPr>
      </w:pPr>
      <w:r w:rsidRPr="00C53FCB">
        <w:rPr>
          <w:rFonts w:ascii="Times New Roman" w:hAnsi="Times New Roman"/>
          <w:b/>
          <w:sz w:val="24"/>
          <w:szCs w:val="24"/>
          <w:lang w:val="pt-PT"/>
        </w:rPr>
        <w:t>Crédito</w:t>
      </w:r>
      <w:r w:rsidR="00BE4441" w:rsidRPr="00C53FCB">
        <w:rPr>
          <w:rFonts w:ascii="Times New Roman" w:hAnsi="Times New Roman"/>
          <w:b/>
          <w:sz w:val="24"/>
          <w:szCs w:val="24"/>
          <w:lang w:val="pt-PT"/>
        </w:rPr>
        <w:t xml:space="preserve"> N</w:t>
      </w:r>
      <w:r w:rsidR="00BE4441" w:rsidRPr="00C53FCB">
        <w:rPr>
          <w:rFonts w:ascii="Times New Roman" w:hAnsi="Times New Roman"/>
          <w:b/>
          <w:sz w:val="24"/>
          <w:szCs w:val="24"/>
          <w:vertAlign w:val="superscript"/>
          <w:lang w:val="pt-PT"/>
        </w:rPr>
        <w:t>o</w:t>
      </w:r>
      <w:r w:rsidR="00BE4441" w:rsidRPr="00C53FCB">
        <w:rPr>
          <w:rFonts w:ascii="Times New Roman" w:hAnsi="Times New Roman"/>
          <w:b/>
          <w:sz w:val="24"/>
          <w:szCs w:val="24"/>
          <w:lang w:val="pt-PT"/>
        </w:rPr>
        <w:t>. IDA-D4360</w:t>
      </w:r>
    </w:p>
    <w:p w:rsidR="00F74887" w:rsidRPr="00C53FCB" w:rsidRDefault="00F74887" w:rsidP="00F0179B">
      <w:pPr>
        <w:tabs>
          <w:tab w:val="left" w:pos="0"/>
          <w:tab w:val="left" w:pos="1985"/>
        </w:tabs>
        <w:spacing w:after="0" w:line="240" w:lineRule="auto"/>
        <w:contextualSpacing/>
        <w:mirrorIndents/>
        <w:jc w:val="both"/>
        <w:rPr>
          <w:rFonts w:ascii="Times New Roman" w:hAnsi="Times New Roman"/>
          <w:sz w:val="24"/>
          <w:szCs w:val="24"/>
          <w:lang w:val="pt-PT"/>
        </w:rPr>
      </w:pPr>
      <w:r w:rsidRPr="00C53FCB">
        <w:rPr>
          <w:rFonts w:ascii="Times New Roman" w:hAnsi="Times New Roman"/>
          <w:sz w:val="24"/>
          <w:szCs w:val="24"/>
          <w:lang w:val="pt-PT"/>
        </w:rPr>
        <w:t>Referenc</w:t>
      </w:r>
      <w:r w:rsidR="00D5727A">
        <w:rPr>
          <w:rFonts w:ascii="Times New Roman" w:hAnsi="Times New Roman"/>
          <w:sz w:val="24"/>
          <w:szCs w:val="24"/>
          <w:lang w:val="pt-PT"/>
        </w:rPr>
        <w:t>ia</w:t>
      </w:r>
      <w:r w:rsidRPr="00C53FCB">
        <w:rPr>
          <w:rFonts w:ascii="Times New Roman" w:hAnsi="Times New Roman"/>
          <w:sz w:val="24"/>
          <w:szCs w:val="24"/>
          <w:lang w:val="pt-PT"/>
        </w:rPr>
        <w:t xml:space="preserve"> N</w:t>
      </w:r>
      <w:r w:rsidRPr="00D5727A">
        <w:rPr>
          <w:rFonts w:ascii="Times New Roman" w:hAnsi="Times New Roman"/>
          <w:sz w:val="24"/>
          <w:szCs w:val="24"/>
          <w:vertAlign w:val="superscript"/>
          <w:lang w:val="pt-PT"/>
        </w:rPr>
        <w:t>o</w:t>
      </w:r>
      <w:r w:rsidRPr="00C53FCB">
        <w:rPr>
          <w:rFonts w:ascii="Times New Roman" w:hAnsi="Times New Roman"/>
          <w:sz w:val="24"/>
          <w:szCs w:val="24"/>
          <w:lang w:val="pt-PT"/>
        </w:rPr>
        <w:t>. MZ-INGC-126779-CS-QCBS</w:t>
      </w:r>
    </w:p>
    <w:p w:rsidR="00BE4441" w:rsidRPr="00C53FCB" w:rsidRDefault="00BE4441" w:rsidP="00F0179B">
      <w:pPr>
        <w:tabs>
          <w:tab w:val="left" w:pos="0"/>
          <w:tab w:val="left" w:pos="1985"/>
        </w:tabs>
        <w:spacing w:after="0" w:line="240" w:lineRule="auto"/>
        <w:contextualSpacing/>
        <w:mirrorIndents/>
        <w:jc w:val="both"/>
        <w:rPr>
          <w:rFonts w:ascii="Times New Roman" w:hAnsi="Times New Roman"/>
          <w:b/>
          <w:bCs/>
          <w:sz w:val="24"/>
          <w:szCs w:val="24"/>
          <w:lang w:val="pt-PT"/>
        </w:rPr>
      </w:pPr>
      <w:r w:rsidRPr="00C53FCB">
        <w:rPr>
          <w:rFonts w:ascii="Times New Roman" w:hAnsi="Times New Roman"/>
          <w:sz w:val="24"/>
          <w:szCs w:val="24"/>
          <w:lang w:val="pt-PT"/>
        </w:rPr>
        <w:t>Dat</w:t>
      </w:r>
      <w:r w:rsidR="00F74887" w:rsidRPr="00C53FCB">
        <w:rPr>
          <w:rFonts w:ascii="Times New Roman" w:hAnsi="Times New Roman"/>
          <w:sz w:val="24"/>
          <w:szCs w:val="24"/>
          <w:lang w:val="pt-PT"/>
        </w:rPr>
        <w:t>a</w:t>
      </w:r>
      <w:r w:rsidRPr="00C53FCB">
        <w:rPr>
          <w:rFonts w:ascii="Times New Roman" w:hAnsi="Times New Roman"/>
          <w:sz w:val="24"/>
          <w:szCs w:val="24"/>
          <w:lang w:val="pt-PT"/>
        </w:rPr>
        <w:t>: 1</w:t>
      </w:r>
      <w:r w:rsidR="00F74887" w:rsidRPr="00C53FCB">
        <w:rPr>
          <w:rFonts w:ascii="Times New Roman" w:hAnsi="Times New Roman"/>
          <w:sz w:val="24"/>
          <w:szCs w:val="24"/>
          <w:lang w:val="pt-PT"/>
        </w:rPr>
        <w:t>0</w:t>
      </w:r>
      <w:r w:rsidRPr="00C53FCB">
        <w:rPr>
          <w:rFonts w:ascii="Times New Roman" w:hAnsi="Times New Roman"/>
          <w:sz w:val="24"/>
          <w:szCs w:val="24"/>
          <w:lang w:val="pt-PT"/>
        </w:rPr>
        <w:t>-0</w:t>
      </w:r>
      <w:r w:rsidR="00F74887" w:rsidRPr="00C53FCB">
        <w:rPr>
          <w:rFonts w:ascii="Times New Roman" w:hAnsi="Times New Roman"/>
          <w:sz w:val="24"/>
          <w:szCs w:val="24"/>
          <w:lang w:val="pt-PT"/>
        </w:rPr>
        <w:t>2-2022</w:t>
      </w:r>
    </w:p>
    <w:p w:rsidR="00BE4441" w:rsidRPr="00C53FCB" w:rsidRDefault="00C431DD" w:rsidP="00F0179B">
      <w:pPr>
        <w:pStyle w:val="Heading3"/>
        <w:contextualSpacing/>
        <w:rPr>
          <w:bCs w:val="0"/>
          <w:szCs w:val="24"/>
        </w:rPr>
      </w:pPr>
      <w:r w:rsidRPr="00C53FCB">
        <w:rPr>
          <w:bCs w:val="0"/>
          <w:szCs w:val="24"/>
        </w:rPr>
        <w:tab/>
      </w:r>
      <w:r w:rsidRPr="00C53FCB">
        <w:rPr>
          <w:bCs w:val="0"/>
          <w:szCs w:val="24"/>
        </w:rPr>
        <w:tab/>
      </w:r>
      <w:r w:rsidRPr="00C53FCB">
        <w:rPr>
          <w:bCs w:val="0"/>
          <w:szCs w:val="24"/>
        </w:rPr>
        <w:tab/>
      </w:r>
      <w:r w:rsidRPr="00C53FCB">
        <w:rPr>
          <w:bCs w:val="0"/>
          <w:szCs w:val="24"/>
        </w:rPr>
        <w:tab/>
      </w:r>
      <w:r w:rsidRPr="00C53FCB">
        <w:rPr>
          <w:bCs w:val="0"/>
          <w:szCs w:val="24"/>
        </w:rPr>
        <w:tab/>
      </w:r>
      <w:r w:rsidRPr="00C53FCB">
        <w:rPr>
          <w:bCs w:val="0"/>
          <w:szCs w:val="24"/>
        </w:rPr>
        <w:tab/>
      </w:r>
      <w:r w:rsidRPr="00C53FCB">
        <w:rPr>
          <w:bCs w:val="0"/>
          <w:szCs w:val="24"/>
        </w:rPr>
        <w:tab/>
      </w:r>
      <w:r w:rsidRPr="00C53FCB">
        <w:rPr>
          <w:bCs w:val="0"/>
          <w:szCs w:val="24"/>
        </w:rPr>
        <w:tab/>
      </w:r>
      <w:r w:rsidRPr="00C53FCB">
        <w:rPr>
          <w:bCs w:val="0"/>
          <w:szCs w:val="24"/>
        </w:rPr>
        <w:tab/>
      </w:r>
    </w:p>
    <w:p w:rsidR="00BE4441" w:rsidRPr="00C53FCB" w:rsidRDefault="00BE4441" w:rsidP="00F0179B">
      <w:pPr>
        <w:pStyle w:val="Heading3"/>
        <w:contextualSpacing/>
        <w:rPr>
          <w:bCs w:val="0"/>
          <w:szCs w:val="24"/>
        </w:rPr>
      </w:pPr>
    </w:p>
    <w:p w:rsidR="00BE4441" w:rsidRPr="00C53FCB"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r w:rsidRPr="00C53FCB">
        <w:rPr>
          <w:rFonts w:ascii="Times New Roman" w:hAnsi="Times New Roman"/>
          <w:sz w:val="24"/>
          <w:szCs w:val="24"/>
          <w:lang w:val="pt-PT"/>
        </w:rPr>
        <w:t>O Governo de Moçambique (GdM), através do Instituto Nacional de Gestão e Redução do Risco de Desastres (INGD), recebeu finan</w:t>
      </w:r>
      <w:bookmarkStart w:id="0" w:name="_GoBack"/>
      <w:bookmarkEnd w:id="0"/>
      <w:r w:rsidRPr="00C53FCB">
        <w:rPr>
          <w:rFonts w:ascii="Times New Roman" w:hAnsi="Times New Roman"/>
          <w:sz w:val="24"/>
          <w:szCs w:val="24"/>
          <w:lang w:val="pt-PT"/>
        </w:rPr>
        <w:t xml:space="preserve">ciamento do Banco Mundial para </w:t>
      </w:r>
      <w:r w:rsidR="00F0179B" w:rsidRPr="00C53FCB">
        <w:rPr>
          <w:rFonts w:ascii="Times New Roman" w:hAnsi="Times New Roman"/>
          <w:sz w:val="24"/>
          <w:szCs w:val="24"/>
          <w:lang w:val="pt-PT"/>
        </w:rPr>
        <w:t xml:space="preserve">financiar </w:t>
      </w:r>
      <w:r w:rsidRPr="00C53FCB">
        <w:rPr>
          <w:rFonts w:ascii="Times New Roman" w:hAnsi="Times New Roman"/>
          <w:sz w:val="24"/>
          <w:szCs w:val="24"/>
          <w:lang w:val="pt-PT"/>
        </w:rPr>
        <w:t xml:space="preserve">o </w:t>
      </w:r>
      <w:r w:rsidR="00F0179B" w:rsidRPr="00C53FCB">
        <w:rPr>
          <w:rFonts w:ascii="Times New Roman" w:hAnsi="Times New Roman"/>
          <w:sz w:val="24"/>
          <w:szCs w:val="24"/>
          <w:lang w:val="pt-PT"/>
        </w:rPr>
        <w:t xml:space="preserve">Programa de Gestão do Risco de Desastres e Resiliência em Moçambique </w:t>
      </w:r>
      <w:r w:rsidRPr="00C53FCB">
        <w:rPr>
          <w:rFonts w:ascii="Times New Roman" w:hAnsi="Times New Roman"/>
          <w:sz w:val="24"/>
          <w:szCs w:val="24"/>
          <w:lang w:val="pt-PT"/>
        </w:rPr>
        <w:t>e pretende aplicar parte d</w:t>
      </w:r>
      <w:r w:rsidR="00F0179B" w:rsidRPr="00C53FCB">
        <w:rPr>
          <w:rFonts w:ascii="Times New Roman" w:hAnsi="Times New Roman"/>
          <w:sz w:val="24"/>
          <w:szCs w:val="24"/>
          <w:lang w:val="pt-PT"/>
        </w:rPr>
        <w:t xml:space="preserve">os fundos </w:t>
      </w:r>
      <w:r w:rsidRPr="00C53FCB">
        <w:rPr>
          <w:rFonts w:ascii="Times New Roman" w:hAnsi="Times New Roman"/>
          <w:sz w:val="24"/>
          <w:szCs w:val="24"/>
          <w:lang w:val="pt-PT"/>
        </w:rPr>
        <w:t>para</w:t>
      </w:r>
      <w:r w:rsidR="00F0179B" w:rsidRPr="00C53FCB">
        <w:rPr>
          <w:rFonts w:ascii="Times New Roman" w:hAnsi="Times New Roman"/>
          <w:sz w:val="24"/>
          <w:szCs w:val="24"/>
          <w:lang w:val="pt-PT"/>
        </w:rPr>
        <w:t xml:space="preserve"> contratar serviços de consultoria</w:t>
      </w:r>
      <w:r w:rsidRPr="00C53FCB">
        <w:rPr>
          <w:rFonts w:ascii="Times New Roman" w:hAnsi="Times New Roman"/>
          <w:sz w:val="24"/>
          <w:szCs w:val="24"/>
          <w:lang w:val="pt-PT"/>
        </w:rPr>
        <w:t>.</w:t>
      </w:r>
    </w:p>
    <w:p w:rsidR="00BE4441" w:rsidRPr="00C53FCB"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p>
    <w:p w:rsidR="00BE4441" w:rsidRPr="00C53FCB"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r w:rsidRPr="00C53FCB">
        <w:rPr>
          <w:rFonts w:ascii="Times New Roman" w:hAnsi="Times New Roman"/>
          <w:sz w:val="24"/>
          <w:szCs w:val="24"/>
          <w:lang w:val="pt-PT"/>
        </w:rPr>
        <w:t>Os serviços de consultoria ("os serviços") incluem, mas não se limitam a:</w:t>
      </w:r>
    </w:p>
    <w:p w:rsidR="00962B19" w:rsidRPr="00C53FCB" w:rsidRDefault="00962B19" w:rsidP="00962B19">
      <w:pPr>
        <w:pStyle w:val="ListParagraph"/>
        <w:tabs>
          <w:tab w:val="left" w:pos="0"/>
          <w:tab w:val="left" w:pos="1985"/>
        </w:tabs>
        <w:mirrorIndents/>
        <w:jc w:val="both"/>
        <w:rPr>
          <w:szCs w:val="24"/>
        </w:rPr>
      </w:pP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Revisão e entendimento das Notas Técnicas do DLI e dos protocolos de validação propostos. Se necessário, o Agente de Verificação Independente </w:t>
      </w:r>
      <w:r w:rsidR="00C53FCB" w:rsidRPr="00C53FCB">
        <w:rPr>
          <w:szCs w:val="24"/>
        </w:rPr>
        <w:t>poderá</w:t>
      </w:r>
      <w:r w:rsidRPr="00C53FCB">
        <w:rPr>
          <w:szCs w:val="24"/>
        </w:rPr>
        <w:t xml:space="preserve"> discutir os detalhes dos procedimentos e produtos de </w:t>
      </w:r>
      <w:r w:rsidR="00C53FCB" w:rsidRPr="00C53FCB">
        <w:rPr>
          <w:szCs w:val="24"/>
        </w:rPr>
        <w:t>avaliação com o INGD e o MINEDH;</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Revisão e entendimento do Documento do Programa (PAD) e Contrato de Financiamento do Programa de Resiliência e Gestão de Risco de Desastres;</w:t>
      </w:r>
    </w:p>
    <w:p w:rsidR="00C53FCB" w:rsidRPr="00C53FCB" w:rsidRDefault="00F74887" w:rsidP="00C53FCB">
      <w:pPr>
        <w:pStyle w:val="ListParagraph"/>
        <w:numPr>
          <w:ilvl w:val="0"/>
          <w:numId w:val="24"/>
        </w:numPr>
        <w:tabs>
          <w:tab w:val="left" w:pos="0"/>
        </w:tabs>
        <w:ind w:left="810"/>
        <w:mirrorIndents/>
        <w:jc w:val="both"/>
        <w:rPr>
          <w:szCs w:val="24"/>
        </w:rPr>
      </w:pPr>
      <w:r w:rsidRPr="00C53FCB">
        <w:rPr>
          <w:szCs w:val="24"/>
        </w:rPr>
        <w:t>Análise das normas técnicas de resiliência climática oficialmente aprovadas pelo Ministério da Educação e Desenvolvimento Humano (MINEDH);</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Análise e compreensão do Termo de Referência para Avaliação de Vulnerabilidade da </w:t>
      </w:r>
      <w:r w:rsidR="00D5727A" w:rsidRPr="00C53FCB">
        <w:rPr>
          <w:szCs w:val="24"/>
        </w:rPr>
        <w:t>infra-estrutura</w:t>
      </w:r>
      <w:r w:rsidRPr="00C53FCB">
        <w:rPr>
          <w:szCs w:val="24"/>
        </w:rPr>
        <w:t xml:space="preserve"> escolar e elaboração de desenhos detalhados;</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Análise crítica dos Documentos de Concurso para a contratação de obras de reforço e reconstrução de salas de aula em zonas </w:t>
      </w:r>
      <w:r w:rsidR="00D5727A" w:rsidRPr="00C53FCB">
        <w:rPr>
          <w:szCs w:val="24"/>
        </w:rPr>
        <w:t>sujeita</w:t>
      </w:r>
      <w:r w:rsidRPr="00C53FCB">
        <w:rPr>
          <w:szCs w:val="24"/>
        </w:rPr>
        <w:t xml:space="preserve"> a ciclones e ventos fortes;</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Avaliação crítica dos conteúdos da Avaliação de Vulnerabilidade das </w:t>
      </w:r>
      <w:r w:rsidR="00D5727A" w:rsidRPr="00C53FCB">
        <w:rPr>
          <w:szCs w:val="24"/>
        </w:rPr>
        <w:t>infra-estruturas</w:t>
      </w:r>
      <w:r w:rsidRPr="00C53FCB">
        <w:rPr>
          <w:szCs w:val="24"/>
        </w:rPr>
        <w:t xml:space="preserve"> escolares e elaboração de desenhos detalhados, à luz dos </w:t>
      </w:r>
      <w:r w:rsidR="00D5727A" w:rsidRPr="00C53FCB">
        <w:rPr>
          <w:szCs w:val="24"/>
        </w:rPr>
        <w:t>respectivos</w:t>
      </w:r>
      <w:r w:rsidRPr="00C53FCB">
        <w:rPr>
          <w:szCs w:val="24"/>
        </w:rPr>
        <w:t xml:space="preserve"> Termos de Referência;</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Avaliação da qualidade das salas de aula reforçadas (reabilitadas) ou reconstruídas pelo MINEDH através do Programa, em zonas de risco de ciclones e ventos fortes, com base nas normas técnicas de construção aprovadas pelo MINEDH e nos Documentos de Concurso. O número total de salas reform</w:t>
      </w:r>
      <w:r w:rsidR="00D5727A">
        <w:rPr>
          <w:szCs w:val="24"/>
        </w:rPr>
        <w:t>adas ao final do Programa (Junho</w:t>
      </w:r>
      <w:r w:rsidRPr="00C53FCB">
        <w:rPr>
          <w:szCs w:val="24"/>
        </w:rPr>
        <w:t xml:space="preserve"> de 2024) será de 3.000. As salas de aula estão localizadas em todas as províncias de Moçambique. O número alvo de salas de aula a serem adaptadas para cada ano é mostrado nas tabelas 1 e 3.</w:t>
      </w:r>
    </w:p>
    <w:p w:rsidR="00F74887" w:rsidRPr="00C53FCB" w:rsidRDefault="00F74887" w:rsidP="004664D5">
      <w:pPr>
        <w:pStyle w:val="ListParagraph"/>
        <w:numPr>
          <w:ilvl w:val="0"/>
          <w:numId w:val="24"/>
        </w:numPr>
        <w:tabs>
          <w:tab w:val="left" w:pos="0"/>
        </w:tabs>
        <w:ind w:left="900" w:hanging="450"/>
        <w:mirrorIndents/>
        <w:jc w:val="both"/>
        <w:rPr>
          <w:szCs w:val="24"/>
        </w:rPr>
      </w:pPr>
      <w:r w:rsidRPr="00C53FCB">
        <w:rPr>
          <w:szCs w:val="24"/>
        </w:rPr>
        <w:t xml:space="preserve">Elaboração e </w:t>
      </w:r>
      <w:r w:rsidR="00D5727A" w:rsidRPr="00C53FCB">
        <w:rPr>
          <w:szCs w:val="24"/>
        </w:rPr>
        <w:t>actualização</w:t>
      </w:r>
      <w:r w:rsidRPr="00C53FCB">
        <w:rPr>
          <w:szCs w:val="24"/>
        </w:rPr>
        <w:t>, no caso dos anos 4 a 5, da metodologia, plano de trabalho, cronograma e recursos (humanos, técnicos e materiais) e orçamento necessários para a validação dos resultados do Ano 1 do DLI 6;</w:t>
      </w:r>
    </w:p>
    <w:p w:rsidR="00F74887"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Elaboração ou </w:t>
      </w:r>
      <w:r w:rsidR="00D5727A" w:rsidRPr="00C53FCB">
        <w:rPr>
          <w:szCs w:val="24"/>
        </w:rPr>
        <w:t>actualização</w:t>
      </w:r>
      <w:r w:rsidRPr="00C53FCB">
        <w:rPr>
          <w:szCs w:val="24"/>
        </w:rPr>
        <w:t xml:space="preserve">, todos os anos, de uma amostra representativa, tendo em conta a distribuição regional das escolas e outros </w:t>
      </w:r>
      <w:r w:rsidR="00D5727A" w:rsidRPr="00C53FCB">
        <w:rPr>
          <w:szCs w:val="24"/>
        </w:rPr>
        <w:t>aspectos</w:t>
      </w:r>
      <w:r w:rsidRPr="00C53FCB">
        <w:rPr>
          <w:szCs w:val="24"/>
        </w:rPr>
        <w:t xml:space="preserve"> relevantes, incluindo a </w:t>
      </w:r>
      <w:r w:rsidRPr="00C53FCB">
        <w:rPr>
          <w:szCs w:val="24"/>
        </w:rPr>
        <w:lastRenderedPageBreak/>
        <w:t xml:space="preserve">metodologia de </w:t>
      </w:r>
      <w:r w:rsidR="00D5727A" w:rsidRPr="00C53FCB">
        <w:rPr>
          <w:szCs w:val="24"/>
        </w:rPr>
        <w:t>selecção</w:t>
      </w:r>
      <w:r w:rsidRPr="00C53FCB">
        <w:rPr>
          <w:szCs w:val="24"/>
        </w:rPr>
        <w:t xml:space="preserve"> das escolas localizadas em zonas de risco de ciclones e vendavais, a abranger na avaliação da resiliência do ciclone - salas de aula reforçadas ou reconstruídas</w:t>
      </w:r>
    </w:p>
    <w:p w:rsidR="002139D1" w:rsidRPr="00C53FCB" w:rsidRDefault="00F74887" w:rsidP="00C53FCB">
      <w:pPr>
        <w:pStyle w:val="ListParagraph"/>
        <w:numPr>
          <w:ilvl w:val="0"/>
          <w:numId w:val="24"/>
        </w:numPr>
        <w:tabs>
          <w:tab w:val="left" w:pos="0"/>
        </w:tabs>
        <w:ind w:left="810"/>
        <w:mirrorIndents/>
        <w:jc w:val="both"/>
        <w:rPr>
          <w:szCs w:val="24"/>
        </w:rPr>
      </w:pPr>
      <w:r w:rsidRPr="00C53FCB">
        <w:rPr>
          <w:szCs w:val="24"/>
        </w:rPr>
        <w:t xml:space="preserve">Realizar entrevistas, </w:t>
      </w:r>
      <w:r w:rsidRPr="00D5727A">
        <w:rPr>
          <w:i/>
          <w:szCs w:val="24"/>
        </w:rPr>
        <w:t>workshops</w:t>
      </w:r>
      <w:r w:rsidRPr="00C53FCB">
        <w:rPr>
          <w:szCs w:val="24"/>
        </w:rPr>
        <w:t xml:space="preserve"> e reuniões de </w:t>
      </w:r>
      <w:r w:rsidR="00D5727A" w:rsidRPr="00C53FCB">
        <w:rPr>
          <w:szCs w:val="24"/>
        </w:rPr>
        <w:t>colecta</w:t>
      </w:r>
      <w:r w:rsidRPr="00C53FCB">
        <w:rPr>
          <w:szCs w:val="24"/>
        </w:rPr>
        <w:t xml:space="preserve"> de informações com empreiteiros e </w:t>
      </w:r>
      <w:r w:rsidR="00D5727A" w:rsidRPr="00C53FCB">
        <w:rPr>
          <w:szCs w:val="24"/>
        </w:rPr>
        <w:t>inspectores</w:t>
      </w:r>
      <w:r w:rsidRPr="00C53FCB">
        <w:rPr>
          <w:szCs w:val="24"/>
        </w:rPr>
        <w:t xml:space="preserve"> envolvidos na reforma e reconstrução de salas de aula resilientes no âmbito do Programa;</w:t>
      </w:r>
    </w:p>
    <w:p w:rsidR="002139D1" w:rsidRPr="00C53FCB" w:rsidRDefault="00F74887" w:rsidP="00C53FCB">
      <w:pPr>
        <w:pStyle w:val="ListParagraph"/>
        <w:numPr>
          <w:ilvl w:val="0"/>
          <w:numId w:val="24"/>
        </w:numPr>
        <w:tabs>
          <w:tab w:val="left" w:pos="0"/>
        </w:tabs>
        <w:ind w:left="810"/>
        <w:mirrorIndents/>
        <w:jc w:val="both"/>
        <w:rPr>
          <w:szCs w:val="24"/>
        </w:rPr>
      </w:pPr>
      <w:r w:rsidRPr="00C53FCB">
        <w:rPr>
          <w:szCs w:val="24"/>
        </w:rPr>
        <w:t>Organizar entrevistas e reuniões para discutir os resultados com as equipas técnicas do MINEDH a nível central e provincial e UN-Habitat, envolvidas na implementação das actividades do DLI 6;</w:t>
      </w:r>
    </w:p>
    <w:p w:rsidR="00C53FCB" w:rsidRPr="00C53FCB" w:rsidRDefault="00F74887" w:rsidP="00C53FCB">
      <w:pPr>
        <w:pStyle w:val="ListParagraph"/>
        <w:numPr>
          <w:ilvl w:val="0"/>
          <w:numId w:val="24"/>
        </w:numPr>
        <w:tabs>
          <w:tab w:val="left" w:pos="0"/>
        </w:tabs>
        <w:ind w:left="810"/>
        <w:mirrorIndents/>
        <w:jc w:val="both"/>
        <w:rPr>
          <w:szCs w:val="24"/>
        </w:rPr>
      </w:pPr>
      <w:r w:rsidRPr="00C53FCB">
        <w:rPr>
          <w:szCs w:val="24"/>
        </w:rPr>
        <w:t>Elaborar os Relatórios Preliminar e Final sobre a validação dos resultados do DLI 6, sempre que solicitado pelo INGD, e à luz do Protocolo de Verificação descrito na Nota Técnica, anexa ao presente Termo de Referência.</w:t>
      </w:r>
    </w:p>
    <w:p w:rsidR="00BE4441" w:rsidRPr="00C53FCB" w:rsidRDefault="00BE4441" w:rsidP="000000F3">
      <w:pPr>
        <w:tabs>
          <w:tab w:val="left" w:pos="0"/>
          <w:tab w:val="left" w:pos="90"/>
          <w:tab w:val="left" w:pos="1985"/>
        </w:tabs>
        <w:spacing w:after="0" w:line="240" w:lineRule="auto"/>
        <w:ind w:right="360"/>
        <w:contextualSpacing/>
        <w:mirrorIndents/>
        <w:jc w:val="both"/>
        <w:rPr>
          <w:rFonts w:ascii="Times New Roman" w:hAnsi="Times New Roman"/>
          <w:sz w:val="24"/>
          <w:szCs w:val="24"/>
          <w:lang w:val="pt-PT"/>
        </w:rPr>
      </w:pPr>
    </w:p>
    <w:p w:rsidR="00BE4441" w:rsidRPr="00C53FCB" w:rsidRDefault="00BE4441" w:rsidP="004664D5">
      <w:pPr>
        <w:tabs>
          <w:tab w:val="left" w:pos="0"/>
          <w:tab w:val="left" w:pos="90"/>
          <w:tab w:val="left" w:pos="1985"/>
        </w:tabs>
        <w:spacing w:after="0" w:line="240" w:lineRule="auto"/>
        <w:ind w:right="360"/>
        <w:contextualSpacing/>
        <w:mirrorIndents/>
        <w:jc w:val="both"/>
        <w:rPr>
          <w:rFonts w:ascii="Times New Roman" w:hAnsi="Times New Roman"/>
          <w:sz w:val="24"/>
          <w:szCs w:val="24"/>
          <w:lang w:val="pt-PT"/>
        </w:rPr>
      </w:pPr>
      <w:r w:rsidRPr="00C53FCB">
        <w:rPr>
          <w:rFonts w:ascii="Times New Roman" w:hAnsi="Times New Roman"/>
          <w:sz w:val="24"/>
          <w:szCs w:val="24"/>
          <w:lang w:val="pt-PT"/>
        </w:rPr>
        <w:t xml:space="preserve">Nível de esforço estimado </w:t>
      </w:r>
      <w:r w:rsidR="005A4234" w:rsidRPr="00C53FCB">
        <w:rPr>
          <w:rFonts w:ascii="Times New Roman" w:hAnsi="Times New Roman"/>
          <w:sz w:val="24"/>
          <w:szCs w:val="24"/>
          <w:lang w:val="pt-PT"/>
        </w:rPr>
        <w:t xml:space="preserve">para Equipa Chave para a consultoria é </w:t>
      </w:r>
      <w:r w:rsidRPr="00C53FCB">
        <w:rPr>
          <w:rFonts w:ascii="Times New Roman" w:hAnsi="Times New Roman"/>
          <w:sz w:val="24"/>
          <w:szCs w:val="24"/>
          <w:lang w:val="pt-PT"/>
        </w:rPr>
        <w:t xml:space="preserve">de </w:t>
      </w:r>
      <w:r w:rsidR="002139D1" w:rsidRPr="00C53FCB">
        <w:rPr>
          <w:rFonts w:ascii="Times New Roman" w:hAnsi="Times New Roman"/>
          <w:sz w:val="24"/>
          <w:szCs w:val="24"/>
          <w:lang w:val="pt-PT"/>
        </w:rPr>
        <w:t>27</w:t>
      </w:r>
      <w:r w:rsidR="005A4234" w:rsidRPr="00C53FCB">
        <w:rPr>
          <w:rFonts w:ascii="Times New Roman" w:hAnsi="Times New Roman"/>
          <w:sz w:val="24"/>
          <w:szCs w:val="24"/>
          <w:lang w:val="pt-PT"/>
        </w:rPr>
        <w:t xml:space="preserve"> homem/mês </w:t>
      </w:r>
      <w:r w:rsidRPr="00C53FCB">
        <w:rPr>
          <w:rFonts w:ascii="Times New Roman" w:hAnsi="Times New Roman"/>
          <w:sz w:val="24"/>
          <w:szCs w:val="24"/>
          <w:lang w:val="pt-PT"/>
        </w:rPr>
        <w:t xml:space="preserve">com período de implementação previsto de um ano, renovável com base em desempenho satisfatório. A data de início prevista para a atribuição é </w:t>
      </w:r>
      <w:r w:rsidR="002139D1" w:rsidRPr="00C53FCB">
        <w:rPr>
          <w:rFonts w:ascii="Times New Roman" w:hAnsi="Times New Roman"/>
          <w:sz w:val="24"/>
          <w:szCs w:val="24"/>
          <w:lang w:val="pt-PT"/>
        </w:rPr>
        <w:t>Agosto de 2022</w:t>
      </w:r>
      <w:r w:rsidRPr="00C53FCB">
        <w:rPr>
          <w:rFonts w:ascii="Times New Roman" w:hAnsi="Times New Roman"/>
          <w:sz w:val="24"/>
          <w:szCs w:val="24"/>
          <w:lang w:val="pt-PT"/>
        </w:rPr>
        <w:t>.</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C53FCB">
        <w:rPr>
          <w:rFonts w:ascii="Times New Roman" w:hAnsi="Times New Roman"/>
          <w:sz w:val="24"/>
          <w:szCs w:val="24"/>
          <w:lang w:val="pt-PT"/>
        </w:rPr>
        <w:t xml:space="preserve">Os </w:t>
      </w:r>
      <w:r w:rsidR="005A4234" w:rsidRPr="00C53FCB">
        <w:rPr>
          <w:rFonts w:ascii="Times New Roman" w:hAnsi="Times New Roman"/>
          <w:sz w:val="24"/>
          <w:szCs w:val="24"/>
          <w:lang w:val="pt-PT"/>
        </w:rPr>
        <w:t xml:space="preserve">TdR </w:t>
      </w:r>
      <w:r w:rsidRPr="00C53FCB">
        <w:rPr>
          <w:rFonts w:ascii="Times New Roman" w:hAnsi="Times New Roman"/>
          <w:sz w:val="24"/>
          <w:szCs w:val="24"/>
          <w:lang w:val="pt-PT"/>
        </w:rPr>
        <w:t xml:space="preserve">para a </w:t>
      </w:r>
      <w:r w:rsidR="005A4234" w:rsidRPr="00C53FCB">
        <w:rPr>
          <w:rFonts w:ascii="Times New Roman" w:hAnsi="Times New Roman"/>
          <w:sz w:val="24"/>
          <w:szCs w:val="24"/>
          <w:lang w:val="pt-PT"/>
        </w:rPr>
        <w:t xml:space="preserve">consultoria </w:t>
      </w:r>
      <w:r w:rsidRPr="00C53FCB">
        <w:rPr>
          <w:rFonts w:ascii="Times New Roman" w:hAnsi="Times New Roman"/>
          <w:sz w:val="24"/>
          <w:szCs w:val="24"/>
          <w:lang w:val="pt-PT"/>
        </w:rPr>
        <w:t xml:space="preserve">podem ser encontrados no seguinte </w:t>
      </w:r>
      <w:r w:rsidRPr="00C53FCB">
        <w:rPr>
          <w:rFonts w:ascii="Times New Roman" w:hAnsi="Times New Roman"/>
          <w:i/>
          <w:sz w:val="24"/>
          <w:szCs w:val="24"/>
          <w:lang w:val="pt-PT"/>
        </w:rPr>
        <w:t>site</w:t>
      </w:r>
      <w:r w:rsidRPr="00C53FCB">
        <w:rPr>
          <w:rFonts w:ascii="Times New Roman" w:hAnsi="Times New Roman"/>
          <w:sz w:val="24"/>
          <w:szCs w:val="24"/>
          <w:lang w:val="pt-PT"/>
        </w:rPr>
        <w:t xml:space="preserve">: </w:t>
      </w:r>
      <w:hyperlink r:id="rId9" w:history="1">
        <w:r w:rsidR="005A4234" w:rsidRPr="00C53FCB">
          <w:rPr>
            <w:rStyle w:val="Hyperlink"/>
            <w:rFonts w:ascii="Times New Roman" w:hAnsi="Times New Roman"/>
            <w:sz w:val="24"/>
            <w:szCs w:val="24"/>
            <w:lang w:val="pt-PT"/>
          </w:rPr>
          <w:t>www.ingd.gov.mz/anuncios</w:t>
        </w:r>
      </w:hyperlink>
      <w:r w:rsidRPr="00C53FCB">
        <w:rPr>
          <w:rFonts w:ascii="Times New Roman" w:hAnsi="Times New Roman"/>
          <w:sz w:val="24"/>
          <w:szCs w:val="24"/>
          <w:lang w:val="pt-PT"/>
        </w:rPr>
        <w:t>.</w:t>
      </w:r>
      <w:r w:rsidR="005A4234" w:rsidRPr="00C53FCB">
        <w:rPr>
          <w:rFonts w:ascii="Times New Roman" w:hAnsi="Times New Roman"/>
          <w:sz w:val="24"/>
          <w:szCs w:val="24"/>
          <w:lang w:val="pt-PT"/>
        </w:rPr>
        <w:t xml:space="preserve"> </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Default="000000F3" w:rsidP="00F0179B">
      <w:pPr>
        <w:autoSpaceDE w:val="0"/>
        <w:autoSpaceDN w:val="0"/>
        <w:adjustRightInd w:val="0"/>
        <w:spacing w:after="0" w:line="240" w:lineRule="auto"/>
        <w:contextualSpacing/>
        <w:jc w:val="both"/>
        <w:rPr>
          <w:rFonts w:ascii="Times New Roman" w:hAnsi="Times New Roman"/>
          <w:sz w:val="24"/>
          <w:szCs w:val="24"/>
          <w:lang w:val="pt-PT"/>
        </w:rPr>
      </w:pPr>
      <w:r w:rsidRPr="00C53FCB">
        <w:rPr>
          <w:rFonts w:ascii="Times New Roman" w:hAnsi="Times New Roman"/>
          <w:sz w:val="24"/>
          <w:szCs w:val="24"/>
          <w:lang w:val="pt-PT"/>
        </w:rPr>
        <w:t xml:space="preserve">Assim, o </w:t>
      </w:r>
      <w:r w:rsidR="00BE4441" w:rsidRPr="00C53FCB">
        <w:rPr>
          <w:rFonts w:ascii="Times New Roman" w:hAnsi="Times New Roman"/>
          <w:sz w:val="24"/>
          <w:szCs w:val="24"/>
          <w:lang w:val="pt-PT"/>
        </w:rPr>
        <w:t>INGD convida</w:t>
      </w:r>
      <w:r w:rsidRPr="00C53FCB">
        <w:rPr>
          <w:rFonts w:ascii="Times New Roman" w:hAnsi="Times New Roman"/>
          <w:sz w:val="24"/>
          <w:szCs w:val="24"/>
          <w:lang w:val="pt-PT"/>
        </w:rPr>
        <w:t xml:space="preserve"> às</w:t>
      </w:r>
      <w:r w:rsidR="00BE4441" w:rsidRPr="00C53FCB">
        <w:rPr>
          <w:rFonts w:ascii="Times New Roman" w:hAnsi="Times New Roman"/>
          <w:sz w:val="24"/>
          <w:szCs w:val="24"/>
          <w:lang w:val="pt-PT"/>
        </w:rPr>
        <w:t xml:space="preserve"> empresas de consultoria elegíveis (“Consultores”) para manifestar seu interesse em</w:t>
      </w:r>
      <w:r w:rsidR="00C53FCB" w:rsidRPr="00C53FCB">
        <w:rPr>
          <w:rFonts w:ascii="Times New Roman" w:hAnsi="Times New Roman"/>
          <w:sz w:val="24"/>
          <w:szCs w:val="24"/>
          <w:lang w:val="pt-PT"/>
        </w:rPr>
        <w:t xml:space="preserve"> prestar </w:t>
      </w:r>
      <w:r w:rsidR="00BE4441" w:rsidRPr="00C53FCB">
        <w:rPr>
          <w:rFonts w:ascii="Times New Roman" w:hAnsi="Times New Roman"/>
          <w:sz w:val="24"/>
          <w:szCs w:val="24"/>
          <w:lang w:val="pt-PT"/>
        </w:rPr>
        <w:t>os Serviços. Os consultores interessados ​​</w:t>
      </w:r>
      <w:r w:rsidR="00D5727A">
        <w:rPr>
          <w:rFonts w:ascii="Times New Roman" w:hAnsi="Times New Roman"/>
          <w:sz w:val="24"/>
          <w:szCs w:val="24"/>
          <w:lang w:val="pt-PT"/>
        </w:rPr>
        <w:t xml:space="preserve">devem </w:t>
      </w:r>
      <w:r w:rsidR="00BE4441" w:rsidRPr="00C53FCB">
        <w:rPr>
          <w:rFonts w:ascii="Times New Roman" w:hAnsi="Times New Roman"/>
          <w:sz w:val="24"/>
          <w:szCs w:val="24"/>
          <w:lang w:val="pt-PT"/>
        </w:rPr>
        <w:t xml:space="preserve">fornecer informações que demonstrem que possuem as qualificações exigidas e a experiência relevante para </w:t>
      </w:r>
      <w:r w:rsidRPr="00C53FCB">
        <w:rPr>
          <w:rFonts w:ascii="Times New Roman" w:hAnsi="Times New Roman"/>
          <w:sz w:val="24"/>
          <w:szCs w:val="24"/>
          <w:lang w:val="pt-PT"/>
        </w:rPr>
        <w:t>realizar a consultoria</w:t>
      </w:r>
      <w:r w:rsidR="00BE4441" w:rsidRPr="00C53FCB">
        <w:rPr>
          <w:rFonts w:ascii="Times New Roman" w:hAnsi="Times New Roman"/>
          <w:sz w:val="24"/>
          <w:szCs w:val="24"/>
          <w:lang w:val="pt-PT"/>
        </w:rPr>
        <w:t xml:space="preserve">. Os critérios </w:t>
      </w:r>
      <w:r w:rsidRPr="00C53FCB">
        <w:rPr>
          <w:rFonts w:ascii="Times New Roman" w:hAnsi="Times New Roman"/>
          <w:sz w:val="24"/>
          <w:szCs w:val="24"/>
          <w:lang w:val="pt-PT"/>
        </w:rPr>
        <w:t>para a Lista Curta</w:t>
      </w:r>
      <w:r w:rsidR="00BE4441" w:rsidRPr="00C53FCB">
        <w:rPr>
          <w:rFonts w:ascii="Times New Roman" w:hAnsi="Times New Roman"/>
          <w:sz w:val="24"/>
          <w:szCs w:val="24"/>
          <w:lang w:val="pt-PT"/>
        </w:rPr>
        <w:t xml:space="preserve"> são</w:t>
      </w:r>
      <w:r w:rsidRPr="00C53FCB">
        <w:rPr>
          <w:rFonts w:ascii="Times New Roman" w:hAnsi="Times New Roman"/>
          <w:sz w:val="24"/>
          <w:szCs w:val="24"/>
          <w:lang w:val="pt-PT"/>
        </w:rPr>
        <w:t xml:space="preserve"> os seguintes</w:t>
      </w:r>
      <w:r w:rsidR="00BE4441" w:rsidRPr="00C53FCB">
        <w:rPr>
          <w:rFonts w:ascii="Times New Roman" w:hAnsi="Times New Roman"/>
          <w:sz w:val="24"/>
          <w:szCs w:val="24"/>
          <w:lang w:val="pt-PT"/>
        </w:rPr>
        <w:t>:</w:t>
      </w:r>
    </w:p>
    <w:p w:rsidR="004664D5" w:rsidRPr="00C53FCB" w:rsidRDefault="004664D5" w:rsidP="00F0179B">
      <w:pPr>
        <w:autoSpaceDE w:val="0"/>
        <w:autoSpaceDN w:val="0"/>
        <w:adjustRightInd w:val="0"/>
        <w:spacing w:after="0" w:line="240" w:lineRule="auto"/>
        <w:contextualSpacing/>
        <w:jc w:val="both"/>
        <w:rPr>
          <w:rFonts w:ascii="Times New Roman" w:hAnsi="Times New Roman"/>
          <w:sz w:val="24"/>
          <w:szCs w:val="24"/>
          <w:lang w:val="pt-PT"/>
        </w:rPr>
      </w:pPr>
    </w:p>
    <w:p w:rsidR="002139D1" w:rsidRPr="00C53FCB" w:rsidRDefault="002139D1" w:rsidP="002139D1">
      <w:pPr>
        <w:pStyle w:val="ListParagraph"/>
        <w:numPr>
          <w:ilvl w:val="0"/>
          <w:numId w:val="23"/>
        </w:numPr>
        <w:autoSpaceDE w:val="0"/>
        <w:autoSpaceDN w:val="0"/>
        <w:adjustRightInd w:val="0"/>
        <w:jc w:val="both"/>
        <w:rPr>
          <w:szCs w:val="24"/>
        </w:rPr>
      </w:pPr>
      <w:r w:rsidRPr="00C53FCB">
        <w:rPr>
          <w:szCs w:val="24"/>
        </w:rPr>
        <w:t xml:space="preserve">Experiência internacional comprovada na elaboração de </w:t>
      </w:r>
      <w:r w:rsidR="00C53FCB" w:rsidRPr="00C53FCB">
        <w:rPr>
          <w:szCs w:val="24"/>
        </w:rPr>
        <w:t>projectos</w:t>
      </w:r>
      <w:r w:rsidRPr="00C53FCB">
        <w:rPr>
          <w:szCs w:val="24"/>
        </w:rPr>
        <w:t xml:space="preserve"> de </w:t>
      </w:r>
      <w:r w:rsidR="00C53FCB" w:rsidRPr="00C53FCB">
        <w:rPr>
          <w:szCs w:val="24"/>
        </w:rPr>
        <w:t>arquitectura</w:t>
      </w:r>
      <w:r w:rsidRPr="00C53FCB">
        <w:rPr>
          <w:szCs w:val="24"/>
        </w:rPr>
        <w:t xml:space="preserve"> e engenharia na área da construção e reabilitação de </w:t>
      </w:r>
      <w:r w:rsidR="00C53FCB" w:rsidRPr="00C53FCB">
        <w:rPr>
          <w:szCs w:val="24"/>
        </w:rPr>
        <w:t>infra-estruturas</w:t>
      </w:r>
      <w:r w:rsidRPr="00C53FCB">
        <w:rPr>
          <w:szCs w:val="24"/>
        </w:rPr>
        <w:t xml:space="preserve"> públicas, incluindo estudos de viabilidade e/ou implementação de soluções </w:t>
      </w:r>
      <w:r w:rsidR="00C53FCB" w:rsidRPr="00C53FCB">
        <w:rPr>
          <w:szCs w:val="24"/>
        </w:rPr>
        <w:t>arquitectónicas</w:t>
      </w:r>
      <w:r w:rsidRPr="00C53FCB">
        <w:rPr>
          <w:szCs w:val="24"/>
        </w:rPr>
        <w:t xml:space="preserve"> adaptadas a catástrofes naturais e climáticas. Experiência no sector da educação é altamente desejável;</w:t>
      </w:r>
    </w:p>
    <w:p w:rsidR="002139D1" w:rsidRPr="00C53FCB" w:rsidRDefault="002139D1" w:rsidP="002139D1">
      <w:pPr>
        <w:pStyle w:val="ListParagraph"/>
        <w:numPr>
          <w:ilvl w:val="0"/>
          <w:numId w:val="23"/>
        </w:numPr>
        <w:autoSpaceDE w:val="0"/>
        <w:autoSpaceDN w:val="0"/>
        <w:adjustRightInd w:val="0"/>
        <w:jc w:val="both"/>
        <w:rPr>
          <w:szCs w:val="24"/>
        </w:rPr>
      </w:pPr>
      <w:r w:rsidRPr="00C53FCB">
        <w:rPr>
          <w:szCs w:val="24"/>
        </w:rPr>
        <w:t>Experiência comprovada na concepção, implementação ou avaliação de padrões de construção resilientes para infra-estruturas públicas, incluindo o sector da educação, no mundo e em África em particular;</w:t>
      </w:r>
    </w:p>
    <w:p w:rsidR="002139D1" w:rsidRPr="00C53FCB" w:rsidRDefault="002139D1" w:rsidP="002139D1">
      <w:pPr>
        <w:pStyle w:val="ListParagraph"/>
        <w:numPr>
          <w:ilvl w:val="0"/>
          <w:numId w:val="23"/>
        </w:numPr>
        <w:autoSpaceDE w:val="0"/>
        <w:autoSpaceDN w:val="0"/>
        <w:adjustRightInd w:val="0"/>
        <w:jc w:val="both"/>
        <w:rPr>
          <w:szCs w:val="24"/>
        </w:rPr>
      </w:pPr>
      <w:r w:rsidRPr="00C53FCB">
        <w:rPr>
          <w:szCs w:val="24"/>
        </w:rPr>
        <w:t>Experiência na supervisão de obras de construção e reabilitação de infra-estruturas públicas em particular na educação no contexto de pós desastres no mundo e em África em particular;</w:t>
      </w:r>
    </w:p>
    <w:p w:rsidR="002139D1" w:rsidRPr="00C53FCB" w:rsidRDefault="002139D1" w:rsidP="002139D1">
      <w:pPr>
        <w:pStyle w:val="ListParagraph"/>
        <w:numPr>
          <w:ilvl w:val="0"/>
          <w:numId w:val="23"/>
        </w:numPr>
        <w:autoSpaceDE w:val="0"/>
        <w:autoSpaceDN w:val="0"/>
        <w:adjustRightInd w:val="0"/>
        <w:jc w:val="both"/>
        <w:rPr>
          <w:szCs w:val="24"/>
        </w:rPr>
      </w:pPr>
      <w:r w:rsidRPr="00C53FCB">
        <w:rPr>
          <w:szCs w:val="24"/>
        </w:rPr>
        <w:t xml:space="preserve">Domínio dos princípios de reconstrução resiliente, redução e gestão do risco de desastres de </w:t>
      </w:r>
      <w:r w:rsidR="00C53FCB" w:rsidRPr="00C53FCB">
        <w:rPr>
          <w:szCs w:val="24"/>
        </w:rPr>
        <w:t>infra-estrutura</w:t>
      </w:r>
      <w:r w:rsidRPr="00C53FCB">
        <w:rPr>
          <w:szCs w:val="24"/>
        </w:rPr>
        <w:t>;</w:t>
      </w:r>
    </w:p>
    <w:p w:rsidR="007B1FDD" w:rsidRPr="00C53FCB" w:rsidRDefault="002139D1" w:rsidP="002139D1">
      <w:pPr>
        <w:pStyle w:val="ListParagraph"/>
        <w:numPr>
          <w:ilvl w:val="0"/>
          <w:numId w:val="23"/>
        </w:numPr>
        <w:autoSpaceDE w:val="0"/>
        <w:autoSpaceDN w:val="0"/>
        <w:adjustRightInd w:val="0"/>
        <w:jc w:val="both"/>
        <w:rPr>
          <w:szCs w:val="24"/>
        </w:rPr>
      </w:pPr>
      <w:r w:rsidRPr="00C53FCB">
        <w:rPr>
          <w:szCs w:val="24"/>
        </w:rPr>
        <w:t>Experiência de trabalho no sector de construção de infra-estruturas educativas em Moçambique.</w:t>
      </w:r>
    </w:p>
    <w:p w:rsidR="00C53FCB" w:rsidRDefault="00C53FCB" w:rsidP="007B1FDD">
      <w:pPr>
        <w:autoSpaceDE w:val="0"/>
        <w:autoSpaceDN w:val="0"/>
        <w:adjustRightInd w:val="0"/>
        <w:jc w:val="both"/>
        <w:rPr>
          <w:rFonts w:ascii="Times New Roman" w:hAnsi="Times New Roman"/>
          <w:sz w:val="24"/>
          <w:szCs w:val="24"/>
          <w:lang w:val="pt-PT"/>
        </w:rPr>
      </w:pPr>
    </w:p>
    <w:p w:rsidR="00BE4441" w:rsidRPr="00C53FCB" w:rsidRDefault="007B1FDD" w:rsidP="007B1FDD">
      <w:pPr>
        <w:autoSpaceDE w:val="0"/>
        <w:autoSpaceDN w:val="0"/>
        <w:adjustRightInd w:val="0"/>
        <w:jc w:val="both"/>
        <w:rPr>
          <w:rFonts w:ascii="Times New Roman" w:hAnsi="Times New Roman"/>
          <w:sz w:val="24"/>
          <w:szCs w:val="24"/>
          <w:lang w:val="pt-PT"/>
        </w:rPr>
      </w:pPr>
      <w:r w:rsidRPr="00C53FCB">
        <w:rPr>
          <w:rFonts w:ascii="Times New Roman" w:hAnsi="Times New Roman"/>
          <w:sz w:val="24"/>
          <w:szCs w:val="24"/>
          <w:lang w:val="pt-PT"/>
        </w:rPr>
        <w:t xml:space="preserve">A Equipa Chave </w:t>
      </w:r>
      <w:r w:rsidR="00BE4441" w:rsidRPr="00C53FCB">
        <w:rPr>
          <w:rFonts w:ascii="Times New Roman" w:hAnsi="Times New Roman"/>
          <w:sz w:val="24"/>
          <w:szCs w:val="24"/>
          <w:lang w:val="pt-PT"/>
        </w:rPr>
        <w:t xml:space="preserve">não </w:t>
      </w:r>
      <w:r w:rsidRPr="00C53FCB">
        <w:rPr>
          <w:rFonts w:ascii="Times New Roman" w:hAnsi="Times New Roman"/>
          <w:sz w:val="24"/>
          <w:szCs w:val="24"/>
          <w:lang w:val="pt-PT"/>
        </w:rPr>
        <w:t>será objecto de avaliação nesta na fase da Lista Curta</w:t>
      </w:r>
      <w:r w:rsidR="00BE4441" w:rsidRPr="00C53FCB">
        <w:rPr>
          <w:rFonts w:ascii="Times New Roman" w:hAnsi="Times New Roman"/>
          <w:sz w:val="24"/>
          <w:szCs w:val="24"/>
          <w:lang w:val="pt-PT"/>
        </w:rPr>
        <w:t>.</w:t>
      </w:r>
    </w:p>
    <w:p w:rsidR="00BE4441" w:rsidRPr="00C53FCB" w:rsidRDefault="007B1FDD" w:rsidP="007B1FDD">
      <w:pPr>
        <w:autoSpaceDE w:val="0"/>
        <w:autoSpaceDN w:val="0"/>
        <w:adjustRightInd w:val="0"/>
        <w:jc w:val="both"/>
        <w:rPr>
          <w:rFonts w:ascii="Times New Roman" w:hAnsi="Times New Roman"/>
          <w:sz w:val="24"/>
          <w:szCs w:val="24"/>
          <w:lang w:val="pt-PT"/>
        </w:rPr>
      </w:pPr>
      <w:r w:rsidRPr="00C53FCB">
        <w:rPr>
          <w:rFonts w:ascii="Times New Roman" w:hAnsi="Times New Roman"/>
          <w:sz w:val="24"/>
          <w:szCs w:val="24"/>
          <w:lang w:val="pt-PT"/>
        </w:rPr>
        <w:t xml:space="preserve">Atenção aos </w:t>
      </w:r>
      <w:r w:rsidR="00BE4441" w:rsidRPr="00C53FCB">
        <w:rPr>
          <w:rFonts w:ascii="Times New Roman" w:hAnsi="Times New Roman"/>
          <w:sz w:val="24"/>
          <w:szCs w:val="24"/>
          <w:lang w:val="pt-PT"/>
        </w:rPr>
        <w:t>Consultores interessados para a Se</w:t>
      </w:r>
      <w:r w:rsidRPr="00C53FCB">
        <w:rPr>
          <w:rFonts w:ascii="Times New Roman" w:hAnsi="Times New Roman"/>
          <w:sz w:val="24"/>
          <w:szCs w:val="24"/>
          <w:lang w:val="pt-PT"/>
        </w:rPr>
        <w:t>c</w:t>
      </w:r>
      <w:r w:rsidR="00BE4441" w:rsidRPr="00C53FCB">
        <w:rPr>
          <w:rFonts w:ascii="Times New Roman" w:hAnsi="Times New Roman"/>
          <w:sz w:val="24"/>
          <w:szCs w:val="24"/>
          <w:lang w:val="pt-PT"/>
        </w:rPr>
        <w:t xml:space="preserve">ção III, parágrafos 3.14, 3.16 e 3.17 </w:t>
      </w:r>
      <w:r w:rsidRPr="00C53FCB">
        <w:rPr>
          <w:rFonts w:ascii="Times New Roman" w:hAnsi="Times New Roman"/>
          <w:sz w:val="24"/>
          <w:szCs w:val="24"/>
          <w:lang w:val="pt-PT"/>
        </w:rPr>
        <w:t xml:space="preserve">dos procedimentos do Banco Mundial definidos no Regulamento de Aquisições do Banco Mundial para Mutuários da Financiamento de Projectos de Investimento (IPF) (datado de Julho de 2016, revisto em Agosto de 2018), </w:t>
      </w:r>
      <w:r w:rsidR="00BE4441" w:rsidRPr="00C53FCB">
        <w:rPr>
          <w:rFonts w:ascii="Times New Roman" w:hAnsi="Times New Roman"/>
          <w:sz w:val="24"/>
          <w:szCs w:val="24"/>
          <w:lang w:val="pt-PT"/>
        </w:rPr>
        <w:t>sobre conflito de interesses</w:t>
      </w:r>
      <w:r w:rsidRPr="00C53FCB">
        <w:rPr>
          <w:rFonts w:ascii="Times New Roman" w:hAnsi="Times New Roman"/>
          <w:sz w:val="24"/>
          <w:szCs w:val="24"/>
          <w:lang w:val="pt-PT"/>
        </w:rPr>
        <w:t>.</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C53FCB">
        <w:rPr>
          <w:rFonts w:ascii="Times New Roman" w:hAnsi="Times New Roman"/>
          <w:sz w:val="24"/>
          <w:szCs w:val="24"/>
          <w:lang w:val="pt-PT"/>
        </w:rPr>
        <w:t xml:space="preserve">Os consultores podem se associar a outras firmas para </w:t>
      </w:r>
      <w:r w:rsidR="00805C3F" w:rsidRPr="00C53FCB">
        <w:rPr>
          <w:rFonts w:ascii="Times New Roman" w:hAnsi="Times New Roman"/>
          <w:sz w:val="24"/>
          <w:szCs w:val="24"/>
          <w:lang w:val="pt-PT"/>
        </w:rPr>
        <w:t xml:space="preserve">reforçar as </w:t>
      </w:r>
      <w:r w:rsidRPr="00C53FCB">
        <w:rPr>
          <w:rFonts w:ascii="Times New Roman" w:hAnsi="Times New Roman"/>
          <w:sz w:val="24"/>
          <w:szCs w:val="24"/>
          <w:lang w:val="pt-PT"/>
        </w:rPr>
        <w:t xml:space="preserve">suas qualificações, mas devem indicar claramente se a associação é na forma de </w:t>
      </w:r>
      <w:r w:rsidR="00805C3F" w:rsidRPr="00C53FCB">
        <w:rPr>
          <w:rFonts w:ascii="Times New Roman" w:hAnsi="Times New Roman"/>
          <w:sz w:val="24"/>
          <w:szCs w:val="24"/>
          <w:lang w:val="pt-PT"/>
        </w:rPr>
        <w:t xml:space="preserve">consórcio </w:t>
      </w:r>
      <w:r w:rsidRPr="00C53FCB">
        <w:rPr>
          <w:rFonts w:ascii="Times New Roman" w:hAnsi="Times New Roman"/>
          <w:sz w:val="24"/>
          <w:szCs w:val="24"/>
          <w:lang w:val="pt-PT"/>
        </w:rPr>
        <w:t xml:space="preserve">e / ou </w:t>
      </w:r>
      <w:r w:rsidR="00805C3F" w:rsidRPr="00C53FCB">
        <w:rPr>
          <w:rFonts w:ascii="Times New Roman" w:hAnsi="Times New Roman"/>
          <w:sz w:val="24"/>
          <w:szCs w:val="24"/>
          <w:lang w:val="pt-PT"/>
        </w:rPr>
        <w:t>subcontratação. No caso de consórcio</w:t>
      </w:r>
      <w:r w:rsidRPr="00C53FCB">
        <w:rPr>
          <w:rFonts w:ascii="Times New Roman" w:hAnsi="Times New Roman"/>
          <w:sz w:val="24"/>
          <w:szCs w:val="24"/>
          <w:lang w:val="pt-PT"/>
        </w:rPr>
        <w:t xml:space="preserve">, todos os </w:t>
      </w:r>
      <w:r w:rsidR="00805C3F" w:rsidRPr="00C53FCB">
        <w:rPr>
          <w:rFonts w:ascii="Times New Roman" w:hAnsi="Times New Roman"/>
          <w:sz w:val="24"/>
          <w:szCs w:val="24"/>
          <w:lang w:val="pt-PT"/>
        </w:rPr>
        <w:t xml:space="preserve">integrantes do consórcio </w:t>
      </w:r>
      <w:r w:rsidRPr="00C53FCB">
        <w:rPr>
          <w:rFonts w:ascii="Times New Roman" w:hAnsi="Times New Roman"/>
          <w:sz w:val="24"/>
          <w:szCs w:val="24"/>
          <w:lang w:val="pt-PT"/>
        </w:rPr>
        <w:t xml:space="preserve">serão solidariamente responsáveis </w:t>
      </w:r>
      <w:r w:rsidR="00805C3F" w:rsidRPr="00C53FCB">
        <w:rPr>
          <w:rFonts w:ascii="Times New Roman" w:hAnsi="Times New Roman"/>
          <w:sz w:val="24"/>
          <w:szCs w:val="24"/>
          <w:lang w:val="pt-PT"/>
        </w:rPr>
        <w:t>pela</w:t>
      </w:r>
      <w:r w:rsidRPr="00C53FCB">
        <w:rPr>
          <w:rFonts w:ascii="Times New Roman" w:hAnsi="Times New Roman"/>
          <w:sz w:val="24"/>
          <w:szCs w:val="24"/>
          <w:lang w:val="pt-PT"/>
        </w:rPr>
        <w:t xml:space="preserve"> totalidade do contrato, se </w:t>
      </w:r>
      <w:r w:rsidR="00805C3F" w:rsidRPr="00C53FCB">
        <w:rPr>
          <w:rFonts w:ascii="Times New Roman" w:hAnsi="Times New Roman"/>
          <w:sz w:val="24"/>
          <w:szCs w:val="24"/>
          <w:lang w:val="pt-PT"/>
        </w:rPr>
        <w:t>seleccionados</w:t>
      </w:r>
      <w:r w:rsidRPr="00C53FCB">
        <w:rPr>
          <w:rFonts w:ascii="Times New Roman" w:hAnsi="Times New Roman"/>
          <w:sz w:val="24"/>
          <w:szCs w:val="24"/>
          <w:lang w:val="pt-PT"/>
        </w:rPr>
        <w:t>.</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C53FCB" w:rsidRDefault="00C53FCB" w:rsidP="00F0179B">
      <w:pPr>
        <w:autoSpaceDE w:val="0"/>
        <w:autoSpaceDN w:val="0"/>
        <w:adjustRightInd w:val="0"/>
        <w:spacing w:after="0" w:line="240" w:lineRule="auto"/>
        <w:contextualSpacing/>
        <w:jc w:val="both"/>
        <w:rPr>
          <w:rFonts w:ascii="Times New Roman" w:hAnsi="Times New Roman"/>
          <w:sz w:val="24"/>
          <w:szCs w:val="24"/>
          <w:lang w:val="pt-PT"/>
        </w:rPr>
      </w:pPr>
      <w:r>
        <w:rPr>
          <w:rFonts w:ascii="Times New Roman" w:hAnsi="Times New Roman"/>
          <w:sz w:val="24"/>
          <w:szCs w:val="24"/>
          <w:lang w:val="pt-PT"/>
        </w:rPr>
        <w:t xml:space="preserve">O </w:t>
      </w:r>
      <w:r w:rsidR="00BE4441" w:rsidRPr="00C53FCB">
        <w:rPr>
          <w:rFonts w:ascii="Times New Roman" w:hAnsi="Times New Roman"/>
          <w:sz w:val="24"/>
          <w:szCs w:val="24"/>
          <w:lang w:val="pt-PT"/>
        </w:rPr>
        <w:t xml:space="preserve">Consultor será </w:t>
      </w:r>
      <w:r w:rsidR="00F22D26" w:rsidRPr="00C53FCB">
        <w:rPr>
          <w:rFonts w:ascii="Times New Roman" w:hAnsi="Times New Roman"/>
          <w:sz w:val="24"/>
          <w:szCs w:val="24"/>
          <w:lang w:val="pt-PT"/>
        </w:rPr>
        <w:t>seleccionado</w:t>
      </w:r>
      <w:r w:rsidR="00BE4441" w:rsidRPr="00C53FCB">
        <w:rPr>
          <w:rFonts w:ascii="Times New Roman" w:hAnsi="Times New Roman"/>
          <w:sz w:val="24"/>
          <w:szCs w:val="24"/>
          <w:lang w:val="pt-PT"/>
        </w:rPr>
        <w:t xml:space="preserve"> de acordo com o método de </w:t>
      </w:r>
      <w:r w:rsidR="00F22D26" w:rsidRPr="00C53FCB">
        <w:rPr>
          <w:rFonts w:ascii="Times New Roman" w:hAnsi="Times New Roman"/>
          <w:sz w:val="24"/>
          <w:szCs w:val="24"/>
          <w:lang w:val="pt-PT"/>
        </w:rPr>
        <w:t>Selecção</w:t>
      </w:r>
      <w:r w:rsidR="00BE4441" w:rsidRPr="00C53FCB">
        <w:rPr>
          <w:rFonts w:ascii="Times New Roman" w:hAnsi="Times New Roman"/>
          <w:sz w:val="24"/>
          <w:szCs w:val="24"/>
          <w:lang w:val="pt-PT"/>
        </w:rPr>
        <w:t xml:space="preserve"> Baseada em Qualidade e Custo (SBQC) estabelecido no Regulamento de Aquisições</w:t>
      </w:r>
      <w:r>
        <w:rPr>
          <w:rFonts w:ascii="Times New Roman" w:hAnsi="Times New Roman"/>
          <w:sz w:val="24"/>
          <w:szCs w:val="24"/>
          <w:lang w:val="pt-PT"/>
        </w:rPr>
        <w:t xml:space="preserve"> do Banco Mundial</w:t>
      </w:r>
      <w:r w:rsidR="00BE4441" w:rsidRPr="00C53FCB">
        <w:rPr>
          <w:rFonts w:ascii="Times New Roman" w:hAnsi="Times New Roman"/>
          <w:sz w:val="24"/>
          <w:szCs w:val="24"/>
          <w:lang w:val="pt-PT"/>
        </w:rPr>
        <w:t>.</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C53FCB">
        <w:rPr>
          <w:rFonts w:ascii="Times New Roman" w:hAnsi="Times New Roman"/>
          <w:sz w:val="24"/>
          <w:szCs w:val="24"/>
          <w:lang w:val="pt-PT"/>
        </w:rPr>
        <w:t xml:space="preserve">Mais informações podem ser obtidas no endereço abaixo, em horário </w:t>
      </w:r>
      <w:r w:rsidR="00805C3F" w:rsidRPr="00C53FCB">
        <w:rPr>
          <w:rFonts w:ascii="Times New Roman" w:hAnsi="Times New Roman"/>
          <w:sz w:val="24"/>
          <w:szCs w:val="24"/>
          <w:lang w:val="pt-PT"/>
        </w:rPr>
        <w:t>de expediente</w:t>
      </w:r>
      <w:r w:rsidRPr="00C53FCB">
        <w:rPr>
          <w:rFonts w:ascii="Times New Roman" w:hAnsi="Times New Roman"/>
          <w:sz w:val="24"/>
          <w:szCs w:val="24"/>
          <w:lang w:val="pt-PT"/>
        </w:rPr>
        <w:t xml:space="preserve"> (7h30 às 15h30).</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C53FCB">
        <w:rPr>
          <w:rFonts w:ascii="Times New Roman" w:hAnsi="Times New Roman"/>
          <w:sz w:val="24"/>
          <w:szCs w:val="24"/>
          <w:lang w:val="pt-PT"/>
        </w:rPr>
        <w:t xml:space="preserve">As manifestações de interesse deverão ser entregues por escrito para o endereço abaixo indicado (pessoalmente ou por correio até </w:t>
      </w:r>
      <w:r w:rsidR="002139D1" w:rsidRPr="00C53FCB">
        <w:rPr>
          <w:rFonts w:ascii="Times New Roman" w:hAnsi="Times New Roman"/>
          <w:sz w:val="24"/>
          <w:szCs w:val="24"/>
          <w:lang w:val="pt-PT"/>
        </w:rPr>
        <w:t>28</w:t>
      </w:r>
      <w:r w:rsidRPr="00C53FCB">
        <w:rPr>
          <w:rFonts w:ascii="Times New Roman" w:hAnsi="Times New Roman"/>
          <w:sz w:val="24"/>
          <w:szCs w:val="24"/>
          <w:lang w:val="pt-PT"/>
        </w:rPr>
        <w:t xml:space="preserve"> de </w:t>
      </w:r>
      <w:r w:rsidR="002139D1" w:rsidRPr="00C53FCB">
        <w:rPr>
          <w:rFonts w:ascii="Times New Roman" w:hAnsi="Times New Roman"/>
          <w:sz w:val="24"/>
          <w:szCs w:val="24"/>
          <w:lang w:val="pt-PT"/>
        </w:rPr>
        <w:t>Fevereiro corrente</w:t>
      </w:r>
      <w:r w:rsidRPr="00C53FCB">
        <w:rPr>
          <w:rFonts w:ascii="Times New Roman" w:hAnsi="Times New Roman"/>
          <w:sz w:val="24"/>
          <w:szCs w:val="24"/>
          <w:lang w:val="pt-PT"/>
        </w:rPr>
        <w:t xml:space="preserve">, 14h00 - hora de Moçambique. Atenção ao </w:t>
      </w:r>
      <w:r w:rsidR="00805C3F" w:rsidRPr="00C53FCB">
        <w:rPr>
          <w:rFonts w:ascii="Times New Roman" w:hAnsi="Times New Roman"/>
          <w:sz w:val="24"/>
          <w:szCs w:val="24"/>
          <w:lang w:val="pt-PT"/>
        </w:rPr>
        <w:t xml:space="preserve">Senhor </w:t>
      </w:r>
      <w:r w:rsidRPr="00C53FCB">
        <w:rPr>
          <w:rFonts w:ascii="Times New Roman" w:hAnsi="Times New Roman"/>
          <w:sz w:val="24"/>
          <w:szCs w:val="24"/>
          <w:lang w:val="pt-PT"/>
        </w:rPr>
        <w:t>António Queface, Coordenador do Programa.</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F0179B" w:rsidRPr="00C53FCB" w:rsidRDefault="00F0179B" w:rsidP="00F0179B">
      <w:pPr>
        <w:tabs>
          <w:tab w:val="left" w:pos="1980"/>
          <w:tab w:val="center" w:pos="3312"/>
        </w:tabs>
        <w:spacing w:after="0" w:line="240" w:lineRule="auto"/>
        <w:contextualSpacing/>
        <w:jc w:val="both"/>
        <w:rPr>
          <w:rFonts w:ascii="Times New Roman" w:hAnsi="Times New Roman"/>
          <w:b/>
          <w:sz w:val="24"/>
          <w:szCs w:val="24"/>
          <w:lang w:val="pt-PT"/>
        </w:rPr>
      </w:pPr>
      <w:r w:rsidRPr="00C53FCB">
        <w:rPr>
          <w:rFonts w:ascii="Times New Roman" w:hAnsi="Times New Roman"/>
          <w:b/>
          <w:sz w:val="24"/>
          <w:szCs w:val="24"/>
          <w:lang w:val="pt-PT"/>
        </w:rPr>
        <w:t>Endereço:</w:t>
      </w:r>
    </w:p>
    <w:p w:rsidR="00F0179B" w:rsidRPr="00C53FCB" w:rsidRDefault="00F0179B" w:rsidP="00F0179B">
      <w:pPr>
        <w:spacing w:after="0" w:line="240" w:lineRule="auto"/>
        <w:contextualSpacing/>
        <w:mirrorIndents/>
        <w:rPr>
          <w:rFonts w:ascii="Times New Roman" w:hAnsi="Times New Roman"/>
          <w:sz w:val="24"/>
          <w:szCs w:val="24"/>
          <w:lang w:val="pt-PT"/>
        </w:rPr>
      </w:pPr>
      <w:r w:rsidRPr="00C53FCB">
        <w:rPr>
          <w:rFonts w:ascii="Times New Roman" w:hAnsi="Times New Roman"/>
          <w:sz w:val="24"/>
          <w:szCs w:val="24"/>
          <w:lang w:val="pt-PT"/>
        </w:rPr>
        <w:t>Instituto Nacional de Gestão e Redução do Risco de Desastres</w:t>
      </w:r>
    </w:p>
    <w:p w:rsidR="00F0179B" w:rsidRPr="00C53FCB" w:rsidRDefault="00F0179B" w:rsidP="00F0179B">
      <w:pPr>
        <w:spacing w:after="0" w:line="240" w:lineRule="auto"/>
        <w:contextualSpacing/>
        <w:mirrorIndents/>
        <w:rPr>
          <w:rFonts w:ascii="Times New Roman" w:hAnsi="Times New Roman"/>
          <w:b/>
          <w:sz w:val="24"/>
          <w:szCs w:val="24"/>
          <w:lang w:val="pt-PT"/>
        </w:rPr>
      </w:pPr>
      <w:r w:rsidRPr="00C53FCB">
        <w:rPr>
          <w:rFonts w:ascii="Times New Roman" w:hAnsi="Times New Roman"/>
          <w:b/>
          <w:sz w:val="24"/>
          <w:szCs w:val="24"/>
          <w:lang w:val="pt-PT"/>
        </w:rPr>
        <w:t>Programa de Gestão do Risco de Desastres e Resiliência em Moçambique</w:t>
      </w:r>
    </w:p>
    <w:p w:rsidR="00F0179B" w:rsidRPr="00C53FCB" w:rsidRDefault="00F0179B" w:rsidP="00F0179B">
      <w:pPr>
        <w:tabs>
          <w:tab w:val="left" w:pos="0"/>
        </w:tabs>
        <w:suppressAutoHyphens/>
        <w:spacing w:after="0" w:line="240" w:lineRule="auto"/>
        <w:contextualSpacing/>
        <w:mirrorIndents/>
        <w:jc w:val="both"/>
        <w:rPr>
          <w:rFonts w:ascii="Times New Roman" w:hAnsi="Times New Roman"/>
          <w:sz w:val="24"/>
          <w:szCs w:val="24"/>
          <w:lang w:val="pt-PT"/>
        </w:rPr>
      </w:pPr>
      <w:r w:rsidRPr="00C53FCB">
        <w:rPr>
          <w:rFonts w:ascii="Times New Roman" w:hAnsi="Times New Roman"/>
          <w:sz w:val="24"/>
          <w:szCs w:val="24"/>
          <w:lang w:val="pt-PT"/>
        </w:rPr>
        <w:t>Rua do Gare de Mercadorias, AV. Das FPLM – Maputo</w:t>
      </w:r>
    </w:p>
    <w:p w:rsidR="00C53FCB" w:rsidRDefault="00F22D26" w:rsidP="005E0F60">
      <w:pPr>
        <w:tabs>
          <w:tab w:val="left" w:pos="0"/>
        </w:tabs>
        <w:suppressAutoHyphens/>
        <w:contextualSpacing/>
        <w:mirrorIndents/>
        <w:jc w:val="both"/>
        <w:rPr>
          <w:rFonts w:ascii="Times New Roman" w:hAnsi="Times New Roman"/>
          <w:sz w:val="24"/>
          <w:lang w:val="pt-PT"/>
        </w:rPr>
      </w:pPr>
      <w:r w:rsidRPr="00C53FCB">
        <w:rPr>
          <w:rFonts w:ascii="Times New Roman" w:hAnsi="Times New Roman"/>
          <w:sz w:val="24"/>
          <w:szCs w:val="24"/>
          <w:lang w:val="pt-PT"/>
        </w:rPr>
        <w:t>Correio Electrónico</w:t>
      </w:r>
      <w:r w:rsidR="005E0F60" w:rsidRPr="00C53FCB">
        <w:rPr>
          <w:rFonts w:ascii="Times New Roman" w:hAnsi="Times New Roman"/>
          <w:sz w:val="24"/>
          <w:szCs w:val="24"/>
          <w:lang w:val="pt-PT"/>
        </w:rPr>
        <w:t xml:space="preserve">: </w:t>
      </w:r>
      <w:hyperlink r:id="rId10" w:history="1">
        <w:r w:rsidR="005E0F60" w:rsidRPr="00C53FCB">
          <w:rPr>
            <w:rFonts w:ascii="Times New Roman" w:hAnsi="Times New Roman"/>
            <w:sz w:val="24"/>
            <w:lang w:val="pt-PT"/>
          </w:rPr>
          <w:t>antonio.queface@gmail.com</w:t>
        </w:r>
      </w:hyperlink>
      <w:r w:rsidR="005E0F60" w:rsidRPr="00C53FCB">
        <w:rPr>
          <w:rFonts w:ascii="Times New Roman" w:hAnsi="Times New Roman"/>
          <w:lang w:val="pt-PT"/>
        </w:rPr>
        <w:t xml:space="preserve">, </w:t>
      </w:r>
      <w:r w:rsidR="005E0F60" w:rsidRPr="00C53FCB">
        <w:rPr>
          <w:rFonts w:ascii="Times New Roman" w:hAnsi="Times New Roman"/>
          <w:sz w:val="24"/>
          <w:szCs w:val="24"/>
          <w:lang w:val="pt-PT"/>
        </w:rPr>
        <w:t xml:space="preserve">Cc: </w:t>
      </w:r>
      <w:hyperlink r:id="rId11" w:history="1">
        <w:r w:rsidR="005E0F60" w:rsidRPr="00C53FCB">
          <w:rPr>
            <w:rFonts w:ascii="Times New Roman" w:hAnsi="Times New Roman"/>
            <w:sz w:val="24"/>
            <w:lang w:val="pt-PT"/>
          </w:rPr>
          <w:t>ppintane@gmail.com</w:t>
        </w:r>
      </w:hyperlink>
    </w:p>
    <w:p w:rsidR="005E0F60" w:rsidRPr="00C53FCB" w:rsidRDefault="005E0F60" w:rsidP="005E0F60">
      <w:pPr>
        <w:tabs>
          <w:tab w:val="left" w:pos="0"/>
        </w:tabs>
        <w:suppressAutoHyphens/>
        <w:contextualSpacing/>
        <w:mirrorIndents/>
        <w:jc w:val="both"/>
        <w:rPr>
          <w:rFonts w:ascii="Times New Roman" w:hAnsi="Times New Roman"/>
          <w:sz w:val="24"/>
          <w:szCs w:val="24"/>
          <w:lang w:val="pt-PT"/>
        </w:rPr>
      </w:pPr>
      <w:r w:rsidRPr="00C53FCB">
        <w:rPr>
          <w:rFonts w:ascii="Times New Roman" w:hAnsi="Times New Roman"/>
          <w:sz w:val="24"/>
          <w:szCs w:val="24"/>
          <w:lang w:val="pt-PT"/>
        </w:rPr>
        <w:t xml:space="preserve"> </w:t>
      </w:r>
    </w:p>
    <w:p w:rsidR="005E0F60" w:rsidRPr="00C53FCB" w:rsidRDefault="005E0F60" w:rsidP="00F0179B">
      <w:pPr>
        <w:tabs>
          <w:tab w:val="left" w:pos="0"/>
        </w:tabs>
        <w:suppressAutoHyphens/>
        <w:spacing w:after="0" w:line="240" w:lineRule="auto"/>
        <w:contextualSpacing/>
        <w:mirrorIndents/>
        <w:jc w:val="both"/>
        <w:rPr>
          <w:rFonts w:ascii="Times New Roman" w:hAnsi="Times New Roman"/>
          <w:sz w:val="24"/>
          <w:szCs w:val="24"/>
          <w:lang w:val="pt-PT"/>
        </w:rPr>
      </w:pPr>
    </w:p>
    <w:p w:rsidR="00F0179B" w:rsidRPr="00C53FCB" w:rsidRDefault="00F0179B" w:rsidP="00F0179B">
      <w:pPr>
        <w:tabs>
          <w:tab w:val="left" w:pos="0"/>
        </w:tabs>
        <w:suppressAutoHyphens/>
        <w:spacing w:after="0" w:line="240" w:lineRule="auto"/>
        <w:contextualSpacing/>
        <w:mirrorIndents/>
        <w:jc w:val="both"/>
        <w:rPr>
          <w:rFonts w:ascii="Times New Roman" w:hAnsi="Times New Roman"/>
          <w:sz w:val="24"/>
          <w:szCs w:val="24"/>
          <w:lang w:val="pt-PT"/>
        </w:rPr>
      </w:pPr>
      <w:r w:rsidRPr="00C53FCB">
        <w:rPr>
          <w:rFonts w:ascii="Times New Roman" w:hAnsi="Times New Roman"/>
          <w:sz w:val="24"/>
          <w:szCs w:val="24"/>
          <w:lang w:val="pt-PT"/>
        </w:rPr>
        <w:t xml:space="preserve">  </w:t>
      </w:r>
    </w:p>
    <w:p w:rsidR="00BE4441" w:rsidRPr="00C53FCB"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sectPr w:rsidR="00BE4441" w:rsidRPr="00C53FCB" w:rsidSect="008474BD">
      <w:footerReference w:type="default" r:id="rId12"/>
      <w:pgSz w:w="12240" w:h="15840"/>
      <w:pgMar w:top="720" w:right="1440" w:bottom="720" w:left="153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3D" w:rsidRDefault="00A52B3D" w:rsidP="005E3E2E">
      <w:r>
        <w:separator/>
      </w:r>
    </w:p>
  </w:endnote>
  <w:endnote w:type="continuationSeparator" w:id="0">
    <w:p w:rsidR="00A52B3D" w:rsidRDefault="00A52B3D" w:rsidP="005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846313"/>
      <w:docPartObj>
        <w:docPartGallery w:val="Page Numbers (Bottom of Page)"/>
        <w:docPartUnique/>
      </w:docPartObj>
    </w:sdtPr>
    <w:sdtEndPr>
      <w:rPr>
        <w:noProof/>
      </w:rPr>
    </w:sdtEndPr>
    <w:sdtContent>
      <w:p w:rsidR="005E3E2E" w:rsidRDefault="005E3E2E">
        <w:pPr>
          <w:pStyle w:val="Footer"/>
          <w:jc w:val="right"/>
        </w:pPr>
        <w:r>
          <w:fldChar w:fldCharType="begin"/>
        </w:r>
        <w:r>
          <w:instrText xml:space="preserve"> PAGE   \* MERGEFORMAT </w:instrText>
        </w:r>
        <w:r>
          <w:fldChar w:fldCharType="separate"/>
        </w:r>
        <w:r w:rsidR="00A52B3D">
          <w:rPr>
            <w:noProof/>
          </w:rPr>
          <w:t>1</w:t>
        </w:r>
        <w:r>
          <w:rPr>
            <w:noProof/>
          </w:rPr>
          <w:fldChar w:fldCharType="end"/>
        </w:r>
      </w:p>
    </w:sdtContent>
  </w:sdt>
  <w:p w:rsidR="005E3E2E" w:rsidRDefault="005E3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3D" w:rsidRDefault="00A52B3D" w:rsidP="005E3E2E">
      <w:r>
        <w:separator/>
      </w:r>
    </w:p>
  </w:footnote>
  <w:footnote w:type="continuationSeparator" w:id="0">
    <w:p w:rsidR="00A52B3D" w:rsidRDefault="00A52B3D" w:rsidP="005E3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E4E"/>
    <w:multiLevelType w:val="hybridMultilevel"/>
    <w:tmpl w:val="9B8CBF3C"/>
    <w:lvl w:ilvl="0" w:tplc="ECEA570A">
      <w:start w:val="1"/>
      <w:numFmt w:val="lowerRoman"/>
      <w:lvlText w:val="%1."/>
      <w:lvlJc w:val="left"/>
      <w:pPr>
        <w:ind w:left="-180" w:hanging="360"/>
      </w:pPr>
      <w:rPr>
        <w:rFonts w:hint="default"/>
      </w:rPr>
    </w:lvl>
    <w:lvl w:ilvl="1" w:tplc="08160019">
      <w:start w:val="1"/>
      <w:numFmt w:val="lowerLetter"/>
      <w:lvlText w:val="%2."/>
      <w:lvlJc w:val="left"/>
      <w:pPr>
        <w:ind w:left="540" w:hanging="360"/>
      </w:pPr>
    </w:lvl>
    <w:lvl w:ilvl="2" w:tplc="0816001B" w:tentative="1">
      <w:start w:val="1"/>
      <w:numFmt w:val="lowerRoman"/>
      <w:lvlText w:val="%3."/>
      <w:lvlJc w:val="right"/>
      <w:pPr>
        <w:ind w:left="1260" w:hanging="180"/>
      </w:pPr>
    </w:lvl>
    <w:lvl w:ilvl="3" w:tplc="0816000F" w:tentative="1">
      <w:start w:val="1"/>
      <w:numFmt w:val="decimal"/>
      <w:lvlText w:val="%4."/>
      <w:lvlJc w:val="left"/>
      <w:pPr>
        <w:ind w:left="1980" w:hanging="360"/>
      </w:pPr>
    </w:lvl>
    <w:lvl w:ilvl="4" w:tplc="08160019" w:tentative="1">
      <w:start w:val="1"/>
      <w:numFmt w:val="lowerLetter"/>
      <w:lvlText w:val="%5."/>
      <w:lvlJc w:val="left"/>
      <w:pPr>
        <w:ind w:left="2700" w:hanging="360"/>
      </w:pPr>
    </w:lvl>
    <w:lvl w:ilvl="5" w:tplc="0816001B" w:tentative="1">
      <w:start w:val="1"/>
      <w:numFmt w:val="lowerRoman"/>
      <w:lvlText w:val="%6."/>
      <w:lvlJc w:val="right"/>
      <w:pPr>
        <w:ind w:left="3420" w:hanging="180"/>
      </w:pPr>
    </w:lvl>
    <w:lvl w:ilvl="6" w:tplc="0816000F" w:tentative="1">
      <w:start w:val="1"/>
      <w:numFmt w:val="decimal"/>
      <w:lvlText w:val="%7."/>
      <w:lvlJc w:val="left"/>
      <w:pPr>
        <w:ind w:left="4140" w:hanging="360"/>
      </w:pPr>
    </w:lvl>
    <w:lvl w:ilvl="7" w:tplc="08160019" w:tentative="1">
      <w:start w:val="1"/>
      <w:numFmt w:val="lowerLetter"/>
      <w:lvlText w:val="%8."/>
      <w:lvlJc w:val="left"/>
      <w:pPr>
        <w:ind w:left="4860" w:hanging="360"/>
      </w:pPr>
    </w:lvl>
    <w:lvl w:ilvl="8" w:tplc="0816001B" w:tentative="1">
      <w:start w:val="1"/>
      <w:numFmt w:val="lowerRoman"/>
      <w:lvlText w:val="%9."/>
      <w:lvlJc w:val="right"/>
      <w:pPr>
        <w:ind w:left="5580" w:hanging="180"/>
      </w:pPr>
    </w:lvl>
  </w:abstractNum>
  <w:abstractNum w:abstractNumId="1" w15:restartNumberingAfterBreak="0">
    <w:nsid w:val="085E2617"/>
    <w:multiLevelType w:val="hybridMultilevel"/>
    <w:tmpl w:val="24C89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B34326"/>
    <w:multiLevelType w:val="hybridMultilevel"/>
    <w:tmpl w:val="8BB8AE9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9B6371F"/>
    <w:multiLevelType w:val="hybridMultilevel"/>
    <w:tmpl w:val="A998D70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14651C0A"/>
    <w:multiLevelType w:val="hybridMultilevel"/>
    <w:tmpl w:val="B9D84CE4"/>
    <w:lvl w:ilvl="0" w:tplc="ECEA570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4C928E9"/>
    <w:multiLevelType w:val="hybridMultilevel"/>
    <w:tmpl w:val="75B2C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06260F"/>
    <w:multiLevelType w:val="hybridMultilevel"/>
    <w:tmpl w:val="AB0C8948"/>
    <w:lvl w:ilvl="0" w:tplc="1B389946">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E542FBF"/>
    <w:multiLevelType w:val="hybridMultilevel"/>
    <w:tmpl w:val="CBE6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44DC9"/>
    <w:multiLevelType w:val="hybridMultilevel"/>
    <w:tmpl w:val="93E06440"/>
    <w:lvl w:ilvl="0" w:tplc="08160001">
      <w:start w:val="1"/>
      <w:numFmt w:val="bullet"/>
      <w:lvlText w:val=""/>
      <w:lvlJc w:val="left"/>
      <w:pPr>
        <w:ind w:left="360" w:hanging="360"/>
      </w:pPr>
      <w:rPr>
        <w:rFonts w:ascii="Symbol" w:hAnsi="Symbol" w:hint="default"/>
      </w:rPr>
    </w:lvl>
    <w:lvl w:ilvl="1" w:tplc="604813C4">
      <w:numFmt w:val="bullet"/>
      <w:lvlText w:val="•"/>
      <w:lvlJc w:val="left"/>
      <w:pPr>
        <w:ind w:left="1080" w:hanging="360"/>
      </w:pPr>
      <w:rPr>
        <w:rFonts w:ascii="Bookman Old Style" w:eastAsia="Calibri" w:hAnsi="Bookman Old Style" w:cs="Segoe UI"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329F435F"/>
    <w:multiLevelType w:val="hybridMultilevel"/>
    <w:tmpl w:val="AAF8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B340C3"/>
    <w:multiLevelType w:val="hybridMultilevel"/>
    <w:tmpl w:val="6B90026C"/>
    <w:lvl w:ilvl="0" w:tplc="0809000F">
      <w:start w:val="1"/>
      <w:numFmt w:val="decimal"/>
      <w:lvlText w:val="%1."/>
      <w:lvlJc w:val="left"/>
      <w:pPr>
        <w:ind w:left="360" w:hanging="360"/>
      </w:pPr>
      <w:rPr>
        <w:rFonts w:hint="default"/>
      </w:rPr>
    </w:lvl>
    <w:lvl w:ilvl="1" w:tplc="3886E85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85091A"/>
    <w:multiLevelType w:val="hybridMultilevel"/>
    <w:tmpl w:val="92B6EF80"/>
    <w:lvl w:ilvl="0" w:tplc="0809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390B1F95"/>
    <w:multiLevelType w:val="hybridMultilevel"/>
    <w:tmpl w:val="BA3036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2533520"/>
    <w:multiLevelType w:val="hybridMultilevel"/>
    <w:tmpl w:val="7EEE0DB8"/>
    <w:lvl w:ilvl="0" w:tplc="ECEA570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FFF2F8F"/>
    <w:multiLevelType w:val="hybridMultilevel"/>
    <w:tmpl w:val="D3283E00"/>
    <w:lvl w:ilvl="0" w:tplc="D13EC04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171DEB"/>
    <w:multiLevelType w:val="hybridMultilevel"/>
    <w:tmpl w:val="021A1D6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170" w:hanging="360"/>
      </w:pPr>
      <w:rPr>
        <w:rFonts w:ascii="Courier New" w:hAnsi="Courier New" w:cs="Courier New" w:hint="default"/>
      </w:rPr>
    </w:lvl>
    <w:lvl w:ilvl="2" w:tplc="08160005" w:tentative="1">
      <w:start w:val="1"/>
      <w:numFmt w:val="bullet"/>
      <w:lvlText w:val=""/>
      <w:lvlJc w:val="left"/>
      <w:pPr>
        <w:ind w:left="1890" w:hanging="360"/>
      </w:pPr>
      <w:rPr>
        <w:rFonts w:ascii="Wingdings" w:hAnsi="Wingdings" w:hint="default"/>
      </w:rPr>
    </w:lvl>
    <w:lvl w:ilvl="3" w:tplc="08160001" w:tentative="1">
      <w:start w:val="1"/>
      <w:numFmt w:val="bullet"/>
      <w:lvlText w:val=""/>
      <w:lvlJc w:val="left"/>
      <w:pPr>
        <w:ind w:left="2610" w:hanging="360"/>
      </w:pPr>
      <w:rPr>
        <w:rFonts w:ascii="Symbol" w:hAnsi="Symbol" w:hint="default"/>
      </w:rPr>
    </w:lvl>
    <w:lvl w:ilvl="4" w:tplc="08160003" w:tentative="1">
      <w:start w:val="1"/>
      <w:numFmt w:val="bullet"/>
      <w:lvlText w:val="o"/>
      <w:lvlJc w:val="left"/>
      <w:pPr>
        <w:ind w:left="3330" w:hanging="360"/>
      </w:pPr>
      <w:rPr>
        <w:rFonts w:ascii="Courier New" w:hAnsi="Courier New" w:cs="Courier New" w:hint="default"/>
      </w:rPr>
    </w:lvl>
    <w:lvl w:ilvl="5" w:tplc="08160005" w:tentative="1">
      <w:start w:val="1"/>
      <w:numFmt w:val="bullet"/>
      <w:lvlText w:val=""/>
      <w:lvlJc w:val="left"/>
      <w:pPr>
        <w:ind w:left="4050" w:hanging="360"/>
      </w:pPr>
      <w:rPr>
        <w:rFonts w:ascii="Wingdings" w:hAnsi="Wingdings" w:hint="default"/>
      </w:rPr>
    </w:lvl>
    <w:lvl w:ilvl="6" w:tplc="08160001" w:tentative="1">
      <w:start w:val="1"/>
      <w:numFmt w:val="bullet"/>
      <w:lvlText w:val=""/>
      <w:lvlJc w:val="left"/>
      <w:pPr>
        <w:ind w:left="4770" w:hanging="360"/>
      </w:pPr>
      <w:rPr>
        <w:rFonts w:ascii="Symbol" w:hAnsi="Symbol" w:hint="default"/>
      </w:rPr>
    </w:lvl>
    <w:lvl w:ilvl="7" w:tplc="08160003" w:tentative="1">
      <w:start w:val="1"/>
      <w:numFmt w:val="bullet"/>
      <w:lvlText w:val="o"/>
      <w:lvlJc w:val="left"/>
      <w:pPr>
        <w:ind w:left="5490" w:hanging="360"/>
      </w:pPr>
      <w:rPr>
        <w:rFonts w:ascii="Courier New" w:hAnsi="Courier New" w:cs="Courier New" w:hint="default"/>
      </w:rPr>
    </w:lvl>
    <w:lvl w:ilvl="8" w:tplc="08160005" w:tentative="1">
      <w:start w:val="1"/>
      <w:numFmt w:val="bullet"/>
      <w:lvlText w:val=""/>
      <w:lvlJc w:val="left"/>
      <w:pPr>
        <w:ind w:left="6210" w:hanging="360"/>
      </w:pPr>
      <w:rPr>
        <w:rFonts w:ascii="Wingdings" w:hAnsi="Wingdings" w:hint="default"/>
      </w:rPr>
    </w:lvl>
  </w:abstractNum>
  <w:abstractNum w:abstractNumId="18" w15:restartNumberingAfterBreak="0">
    <w:nsid w:val="6C821405"/>
    <w:multiLevelType w:val="hybridMultilevel"/>
    <w:tmpl w:val="67D274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D2E51D6"/>
    <w:multiLevelType w:val="hybridMultilevel"/>
    <w:tmpl w:val="9886C210"/>
    <w:lvl w:ilvl="0" w:tplc="ECEA570A">
      <w:start w:val="1"/>
      <w:numFmt w:val="lowerRoman"/>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D7604D4"/>
    <w:multiLevelType w:val="hybridMultilevel"/>
    <w:tmpl w:val="EEA86BC2"/>
    <w:lvl w:ilvl="0" w:tplc="ECEA570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E6B58F6"/>
    <w:multiLevelType w:val="hybridMultilevel"/>
    <w:tmpl w:val="211C8FD6"/>
    <w:lvl w:ilvl="0" w:tplc="31EEBF5A">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76626714"/>
    <w:multiLevelType w:val="hybridMultilevel"/>
    <w:tmpl w:val="E29AD86E"/>
    <w:lvl w:ilvl="0" w:tplc="7876B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3722D0"/>
    <w:multiLevelType w:val="hybridMultilevel"/>
    <w:tmpl w:val="896ECF0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21"/>
  </w:num>
  <w:num w:numId="6">
    <w:abstractNumId w:val="22"/>
  </w:num>
  <w:num w:numId="7">
    <w:abstractNumId w:val="18"/>
  </w:num>
  <w:num w:numId="8">
    <w:abstractNumId w:val="13"/>
  </w:num>
  <w:num w:numId="9">
    <w:abstractNumId w:val="23"/>
  </w:num>
  <w:num w:numId="10">
    <w:abstractNumId w:val="17"/>
  </w:num>
  <w:num w:numId="11">
    <w:abstractNumId w:val="15"/>
  </w:num>
  <w:num w:numId="12">
    <w:abstractNumId w:val="2"/>
  </w:num>
  <w:num w:numId="13">
    <w:abstractNumId w:val="11"/>
  </w:num>
  <w:num w:numId="14">
    <w:abstractNumId w:val="10"/>
  </w:num>
  <w:num w:numId="15">
    <w:abstractNumId w:val="3"/>
  </w:num>
  <w:num w:numId="16">
    <w:abstractNumId w:val="16"/>
  </w:num>
  <w:num w:numId="17">
    <w:abstractNumId w:val="9"/>
  </w:num>
  <w:num w:numId="18">
    <w:abstractNumId w:val="20"/>
  </w:num>
  <w:num w:numId="19">
    <w:abstractNumId w:val="14"/>
  </w:num>
  <w:num w:numId="20">
    <w:abstractNumId w:val="12"/>
  </w:num>
  <w:num w:numId="21">
    <w:abstractNumId w:val="19"/>
  </w:num>
  <w:num w:numId="22">
    <w:abstractNumId w:val="4"/>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000F3"/>
    <w:rsid w:val="000052E8"/>
    <w:rsid w:val="00014E64"/>
    <w:rsid w:val="000217AB"/>
    <w:rsid w:val="000420EF"/>
    <w:rsid w:val="00090E8A"/>
    <w:rsid w:val="000B1687"/>
    <w:rsid w:val="000C2708"/>
    <w:rsid w:val="000E7010"/>
    <w:rsid w:val="001254B4"/>
    <w:rsid w:val="0013195C"/>
    <w:rsid w:val="001600A0"/>
    <w:rsid w:val="00172C7C"/>
    <w:rsid w:val="00192F9E"/>
    <w:rsid w:val="001972FD"/>
    <w:rsid w:val="001C05EA"/>
    <w:rsid w:val="001F7C72"/>
    <w:rsid w:val="002139D1"/>
    <w:rsid w:val="00252CC9"/>
    <w:rsid w:val="0026371D"/>
    <w:rsid w:val="00265A25"/>
    <w:rsid w:val="0027504B"/>
    <w:rsid w:val="002A6346"/>
    <w:rsid w:val="002A69D1"/>
    <w:rsid w:val="002B5EFF"/>
    <w:rsid w:val="002D371D"/>
    <w:rsid w:val="00325518"/>
    <w:rsid w:val="003342ED"/>
    <w:rsid w:val="003C6450"/>
    <w:rsid w:val="004338F5"/>
    <w:rsid w:val="004508AE"/>
    <w:rsid w:val="004664D5"/>
    <w:rsid w:val="00472F57"/>
    <w:rsid w:val="004D311F"/>
    <w:rsid w:val="004D314F"/>
    <w:rsid w:val="00504F88"/>
    <w:rsid w:val="00507F9F"/>
    <w:rsid w:val="00532A44"/>
    <w:rsid w:val="00540997"/>
    <w:rsid w:val="00544489"/>
    <w:rsid w:val="005676C9"/>
    <w:rsid w:val="005A4234"/>
    <w:rsid w:val="005A59C6"/>
    <w:rsid w:val="005B4687"/>
    <w:rsid w:val="005D24D4"/>
    <w:rsid w:val="005E0F60"/>
    <w:rsid w:val="005E3E2E"/>
    <w:rsid w:val="00623B6E"/>
    <w:rsid w:val="006538E6"/>
    <w:rsid w:val="006A7117"/>
    <w:rsid w:val="006B2669"/>
    <w:rsid w:val="006B3E89"/>
    <w:rsid w:val="006E011F"/>
    <w:rsid w:val="007007B9"/>
    <w:rsid w:val="00704F31"/>
    <w:rsid w:val="00712293"/>
    <w:rsid w:val="007178F7"/>
    <w:rsid w:val="00717962"/>
    <w:rsid w:val="00730E5D"/>
    <w:rsid w:val="007311BB"/>
    <w:rsid w:val="0074655A"/>
    <w:rsid w:val="007473E4"/>
    <w:rsid w:val="007547F3"/>
    <w:rsid w:val="00780136"/>
    <w:rsid w:val="0078735F"/>
    <w:rsid w:val="007A40D2"/>
    <w:rsid w:val="007B1FDD"/>
    <w:rsid w:val="007C7D74"/>
    <w:rsid w:val="007D3554"/>
    <w:rsid w:val="007D404A"/>
    <w:rsid w:val="007E1029"/>
    <w:rsid w:val="00805C3F"/>
    <w:rsid w:val="00821FAE"/>
    <w:rsid w:val="008467A3"/>
    <w:rsid w:val="008474BD"/>
    <w:rsid w:val="008760DD"/>
    <w:rsid w:val="00885331"/>
    <w:rsid w:val="008A4BFE"/>
    <w:rsid w:val="009016FD"/>
    <w:rsid w:val="00901E07"/>
    <w:rsid w:val="009022D8"/>
    <w:rsid w:val="00916CA2"/>
    <w:rsid w:val="00941DF5"/>
    <w:rsid w:val="00943B39"/>
    <w:rsid w:val="00951EE9"/>
    <w:rsid w:val="00962B19"/>
    <w:rsid w:val="00970087"/>
    <w:rsid w:val="009825AC"/>
    <w:rsid w:val="00992034"/>
    <w:rsid w:val="009E1892"/>
    <w:rsid w:val="009F5767"/>
    <w:rsid w:val="00A00A0A"/>
    <w:rsid w:val="00A4402B"/>
    <w:rsid w:val="00A442A1"/>
    <w:rsid w:val="00A451C8"/>
    <w:rsid w:val="00A52B3D"/>
    <w:rsid w:val="00A73093"/>
    <w:rsid w:val="00A81A04"/>
    <w:rsid w:val="00A8556A"/>
    <w:rsid w:val="00A90F41"/>
    <w:rsid w:val="00AA0235"/>
    <w:rsid w:val="00AB4C63"/>
    <w:rsid w:val="00AE1243"/>
    <w:rsid w:val="00AE32B7"/>
    <w:rsid w:val="00B06FE9"/>
    <w:rsid w:val="00B20FFD"/>
    <w:rsid w:val="00B47819"/>
    <w:rsid w:val="00B560BF"/>
    <w:rsid w:val="00B65ED2"/>
    <w:rsid w:val="00BC17A7"/>
    <w:rsid w:val="00BE15BA"/>
    <w:rsid w:val="00BE4441"/>
    <w:rsid w:val="00BF3316"/>
    <w:rsid w:val="00BF63DC"/>
    <w:rsid w:val="00C05E6B"/>
    <w:rsid w:val="00C22A1F"/>
    <w:rsid w:val="00C269F8"/>
    <w:rsid w:val="00C26FF7"/>
    <w:rsid w:val="00C2762B"/>
    <w:rsid w:val="00C431DD"/>
    <w:rsid w:val="00C53FCB"/>
    <w:rsid w:val="00C55DC4"/>
    <w:rsid w:val="00D16A1A"/>
    <w:rsid w:val="00D44D5D"/>
    <w:rsid w:val="00D5727A"/>
    <w:rsid w:val="00D636FE"/>
    <w:rsid w:val="00D76952"/>
    <w:rsid w:val="00DB4059"/>
    <w:rsid w:val="00DC7D98"/>
    <w:rsid w:val="00DD54BE"/>
    <w:rsid w:val="00E35681"/>
    <w:rsid w:val="00E46A2C"/>
    <w:rsid w:val="00E74C7B"/>
    <w:rsid w:val="00E80F3F"/>
    <w:rsid w:val="00E8543F"/>
    <w:rsid w:val="00E9642D"/>
    <w:rsid w:val="00EB5AB2"/>
    <w:rsid w:val="00EC51F5"/>
    <w:rsid w:val="00EF6468"/>
    <w:rsid w:val="00F0179B"/>
    <w:rsid w:val="00F077D0"/>
    <w:rsid w:val="00F22544"/>
    <w:rsid w:val="00F22D26"/>
    <w:rsid w:val="00F2343F"/>
    <w:rsid w:val="00F33C48"/>
    <w:rsid w:val="00F3653D"/>
    <w:rsid w:val="00F42897"/>
    <w:rsid w:val="00F556B0"/>
    <w:rsid w:val="00F74887"/>
    <w:rsid w:val="00F960AB"/>
    <w:rsid w:val="00F9619A"/>
    <w:rsid w:val="00FE3ADB"/>
    <w:rsid w:val="00FF4683"/>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75FD"/>
  <w15:chartTrackingRefBased/>
  <w15:docId w15:val="{58568EF2-D029-41B8-AB79-E000E4B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A7"/>
    <w:rPr>
      <w:rFonts w:ascii="Calibri" w:eastAsia="Times New Roman" w:hAnsi="Calibri" w:cs="Times New Roman"/>
    </w:rPr>
  </w:style>
  <w:style w:type="paragraph" w:styleId="Heading1">
    <w:name w:val="heading 1"/>
    <w:basedOn w:val="Normal"/>
    <w:next w:val="Normal"/>
    <w:link w:val="Heading1Char"/>
    <w:uiPriority w:val="9"/>
    <w:qFormat/>
    <w:rsid w:val="00252CC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pt-PT"/>
    </w:rPr>
  </w:style>
  <w:style w:type="paragraph" w:styleId="Heading3">
    <w:name w:val="heading 3"/>
    <w:basedOn w:val="Normal"/>
    <w:next w:val="Normal"/>
    <w:link w:val="Heading3Char"/>
    <w:qFormat/>
    <w:rsid w:val="00B06FE9"/>
    <w:pPr>
      <w:keepNext/>
      <w:spacing w:after="0" w:line="240" w:lineRule="auto"/>
      <w:jc w:val="center"/>
      <w:outlineLvl w:val="2"/>
    </w:pPr>
    <w:rPr>
      <w:rFonts w:ascii="Times New Roman" w:hAnsi="Times New Roman"/>
      <w:b/>
      <w:bCs/>
      <w:sz w:val="24"/>
      <w:szCs w:val="20"/>
      <w:lang w:val="pt-PT"/>
    </w:rPr>
  </w:style>
  <w:style w:type="paragraph" w:styleId="Heading4">
    <w:name w:val="heading 4"/>
    <w:basedOn w:val="Normal"/>
    <w:next w:val="Normal"/>
    <w:link w:val="Heading4Char"/>
    <w:uiPriority w:val="9"/>
    <w:semiHidden/>
    <w:unhideWhenUsed/>
    <w:qFormat/>
    <w:rsid w:val="0054099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lang w:val="pt-PT"/>
    </w:rPr>
  </w:style>
  <w:style w:type="paragraph" w:styleId="Heading6">
    <w:name w:val="heading 6"/>
    <w:basedOn w:val="Normal"/>
    <w:next w:val="Normal"/>
    <w:link w:val="Heading6Char"/>
    <w:uiPriority w:val="9"/>
    <w:semiHidden/>
    <w:unhideWhenUsed/>
    <w:qFormat/>
    <w:rsid w:val="00BE4441"/>
    <w:pPr>
      <w:keepNext/>
      <w:keepLines/>
      <w:spacing w:before="40" w:after="0" w:line="240" w:lineRule="auto"/>
      <w:outlineLvl w:val="5"/>
    </w:pPr>
    <w:rPr>
      <w:rFonts w:asciiTheme="majorHAnsi" w:eastAsiaTheme="majorEastAsia" w:hAnsiTheme="majorHAnsi" w:cstheme="majorBidi"/>
      <w:color w:val="1F4D78" w:themeColor="accent1" w:themeShade="7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List Paragraph (numbered (a)),List_Paragraph,Multilevel para_II,List Paragraph1,Akapit z listą BS,Bullet1,References,ReferencesCxSpLast,body bullets,Bullets,Numbered List Paragraph,Paragraphe  revu,Liste 1,List Bullet Mary"/>
    <w:basedOn w:val="Normal"/>
    <w:link w:val="ListParagraphChar"/>
    <w:uiPriority w:val="34"/>
    <w:qFormat/>
    <w:rsid w:val="00BF63DC"/>
    <w:pPr>
      <w:spacing w:after="0" w:line="240" w:lineRule="auto"/>
      <w:ind w:left="720"/>
      <w:contextualSpacing/>
    </w:pPr>
    <w:rPr>
      <w:rFonts w:ascii="Times New Roman" w:hAnsi="Times New Roman"/>
      <w:sz w:val="24"/>
      <w:szCs w:val="20"/>
      <w:lang w:val="pt-PT"/>
    </w:rPr>
  </w:style>
  <w:style w:type="table" w:styleId="TableGrid">
    <w:name w:val="Table Grid"/>
    <w:basedOn w:val="TableNormal"/>
    <w:uiPriority w:val="39"/>
    <w:rsid w:val="00AA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46"/>
    <w:rPr>
      <w:rFonts w:ascii="Segoe UI" w:eastAsia="Times New Roman" w:hAnsi="Segoe UI" w:cs="Segoe UI"/>
      <w:sz w:val="18"/>
      <w:szCs w:val="18"/>
      <w:lang w:val="pt-PT"/>
    </w:rPr>
  </w:style>
  <w:style w:type="paragraph" w:styleId="HTMLPreformatted">
    <w:name w:val="HTML Preformatted"/>
    <w:basedOn w:val="Normal"/>
    <w:link w:val="HTMLPreformattedChar"/>
    <w:uiPriority w:val="99"/>
    <w:unhideWhenUsed/>
    <w:rsid w:val="00C5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DC4"/>
    <w:rPr>
      <w:rFonts w:ascii="Courier New" w:eastAsia="Times New Roman" w:hAnsi="Courier New" w:cs="Courier New"/>
      <w:sz w:val="20"/>
      <w:szCs w:val="20"/>
    </w:rPr>
  </w:style>
  <w:style w:type="character" w:customStyle="1" w:styleId="Heading3Char">
    <w:name w:val="Heading 3 Char"/>
    <w:basedOn w:val="DefaultParagraphFont"/>
    <w:link w:val="Heading3"/>
    <w:rsid w:val="00B06FE9"/>
    <w:rPr>
      <w:rFonts w:ascii="Times New Roman" w:eastAsia="Times New Roman" w:hAnsi="Times New Roman" w:cs="Times New Roman"/>
      <w:b/>
      <w:bCs/>
      <w:sz w:val="24"/>
      <w:szCs w:val="20"/>
      <w:lang w:val="pt-PT"/>
    </w:rPr>
  </w:style>
  <w:style w:type="paragraph" w:styleId="Header">
    <w:name w:val="header"/>
    <w:basedOn w:val="Normal"/>
    <w:link w:val="Head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HeaderChar">
    <w:name w:val="Header Char"/>
    <w:basedOn w:val="DefaultParagraphFont"/>
    <w:link w:val="Header"/>
    <w:uiPriority w:val="99"/>
    <w:rsid w:val="005E3E2E"/>
    <w:rPr>
      <w:rFonts w:ascii="Times New Roman" w:eastAsia="Times New Roman" w:hAnsi="Times New Roman" w:cs="Times New Roman"/>
      <w:sz w:val="24"/>
      <w:szCs w:val="20"/>
      <w:lang w:val="pt-PT"/>
    </w:rPr>
  </w:style>
  <w:style w:type="paragraph" w:styleId="Footer">
    <w:name w:val="footer"/>
    <w:basedOn w:val="Normal"/>
    <w:link w:val="Foot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FooterChar">
    <w:name w:val="Footer Char"/>
    <w:basedOn w:val="DefaultParagraphFont"/>
    <w:link w:val="Footer"/>
    <w:uiPriority w:val="99"/>
    <w:rsid w:val="005E3E2E"/>
    <w:rPr>
      <w:rFonts w:ascii="Times New Roman" w:eastAsia="Times New Roman" w:hAnsi="Times New Roman" w:cs="Times New Roman"/>
      <w:sz w:val="24"/>
      <w:szCs w:val="20"/>
      <w:lang w:val="pt-PT"/>
    </w:rPr>
  </w:style>
  <w:style w:type="character" w:styleId="Hyperlink">
    <w:name w:val="Hyperlink"/>
    <w:basedOn w:val="DefaultParagraphFont"/>
    <w:uiPriority w:val="99"/>
    <w:unhideWhenUsed/>
    <w:rsid w:val="00A00A0A"/>
    <w:rPr>
      <w:color w:val="0000FF"/>
      <w:u w:val="single"/>
    </w:rPr>
  </w:style>
  <w:style w:type="character" w:styleId="CommentReference">
    <w:name w:val="annotation reference"/>
    <w:basedOn w:val="DefaultParagraphFont"/>
    <w:uiPriority w:val="99"/>
    <w:semiHidden/>
    <w:unhideWhenUsed/>
    <w:rsid w:val="00DD54BE"/>
    <w:rPr>
      <w:sz w:val="16"/>
      <w:szCs w:val="16"/>
    </w:rPr>
  </w:style>
  <w:style w:type="paragraph" w:styleId="CommentText">
    <w:name w:val="annotation text"/>
    <w:basedOn w:val="Normal"/>
    <w:link w:val="CommentTextChar"/>
    <w:uiPriority w:val="99"/>
    <w:semiHidden/>
    <w:unhideWhenUsed/>
    <w:rsid w:val="00DD54BE"/>
    <w:rPr>
      <w:sz w:val="20"/>
    </w:rPr>
  </w:style>
  <w:style w:type="character" w:customStyle="1" w:styleId="CommentTextChar">
    <w:name w:val="Comment Text Char"/>
    <w:basedOn w:val="DefaultParagraphFont"/>
    <w:link w:val="CommentText"/>
    <w:uiPriority w:val="99"/>
    <w:semiHidden/>
    <w:rsid w:val="00DD54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DD54BE"/>
    <w:rPr>
      <w:b/>
      <w:bCs/>
    </w:rPr>
  </w:style>
  <w:style w:type="character" w:customStyle="1" w:styleId="CommentSubjectChar">
    <w:name w:val="Comment Subject Char"/>
    <w:basedOn w:val="CommentTextChar"/>
    <w:link w:val="CommentSubject"/>
    <w:uiPriority w:val="99"/>
    <w:semiHidden/>
    <w:rsid w:val="00DD54BE"/>
    <w:rPr>
      <w:rFonts w:ascii="Times New Roman" w:eastAsia="Times New Roman" w:hAnsi="Times New Roman" w:cs="Times New Roman"/>
      <w:b/>
      <w:bCs/>
      <w:sz w:val="20"/>
      <w:szCs w:val="20"/>
      <w:lang w:val="pt-PT"/>
    </w:rPr>
  </w:style>
  <w:style w:type="character" w:customStyle="1" w:styleId="Heading4Char">
    <w:name w:val="Heading 4 Char"/>
    <w:basedOn w:val="DefaultParagraphFont"/>
    <w:link w:val="Heading4"/>
    <w:uiPriority w:val="9"/>
    <w:semiHidden/>
    <w:rsid w:val="00540997"/>
    <w:rPr>
      <w:rFonts w:asciiTheme="majorHAnsi" w:eastAsiaTheme="majorEastAsia" w:hAnsiTheme="majorHAnsi" w:cstheme="majorBidi"/>
      <w:i/>
      <w:iCs/>
      <w:color w:val="2E74B5" w:themeColor="accent1" w:themeShade="BF"/>
      <w:sz w:val="24"/>
      <w:szCs w:val="20"/>
      <w:lang w:val="pt-PT"/>
    </w:rPr>
  </w:style>
  <w:style w:type="paragraph" w:styleId="BodyText">
    <w:name w:val="Body Text"/>
    <w:basedOn w:val="Normal"/>
    <w:link w:val="BodyTextChar"/>
    <w:rsid w:val="00540997"/>
    <w:pPr>
      <w:spacing w:after="0" w:line="240" w:lineRule="auto"/>
      <w:ind w:right="340"/>
      <w:jc w:val="both"/>
    </w:pPr>
    <w:rPr>
      <w:rFonts w:ascii="Times New Roman" w:hAnsi="Times New Roman"/>
      <w:sz w:val="24"/>
      <w:szCs w:val="20"/>
      <w:lang w:val="pt-BR" w:eastAsia="pt-BR"/>
    </w:rPr>
  </w:style>
  <w:style w:type="character" w:customStyle="1" w:styleId="BodyTextChar">
    <w:name w:val="Body Text Char"/>
    <w:basedOn w:val="DefaultParagraphFont"/>
    <w:link w:val="BodyText"/>
    <w:rsid w:val="00540997"/>
    <w:rPr>
      <w:rFonts w:ascii="Times New Roman" w:eastAsia="Times New Roman" w:hAnsi="Times New Roman" w:cs="Times New Roman"/>
      <w:sz w:val="24"/>
      <w:szCs w:val="20"/>
      <w:lang w:val="pt-BR" w:eastAsia="pt-BR"/>
    </w:rPr>
  </w:style>
  <w:style w:type="paragraph" w:customStyle="1" w:styleId="Default">
    <w:name w:val="Default"/>
    <w:link w:val="DefaultChar"/>
    <w:rsid w:val="00F2343F"/>
    <w:pPr>
      <w:autoSpaceDE w:val="0"/>
      <w:autoSpaceDN w:val="0"/>
      <w:adjustRightInd w:val="0"/>
      <w:spacing w:after="0" w:line="240" w:lineRule="auto"/>
    </w:pPr>
    <w:rPr>
      <w:rFonts w:ascii="Arial" w:eastAsia="Times New Roman" w:hAnsi="Arial" w:cs="Times New Roman"/>
      <w:color w:val="000000"/>
      <w:sz w:val="24"/>
      <w:szCs w:val="24"/>
      <w:lang w:val="pt-PT" w:eastAsia="pt-PT"/>
    </w:rPr>
  </w:style>
  <w:style w:type="character" w:customStyle="1" w:styleId="DefaultChar">
    <w:name w:val="Default Char"/>
    <w:link w:val="Default"/>
    <w:rsid w:val="00F2343F"/>
    <w:rPr>
      <w:rFonts w:ascii="Arial" w:eastAsia="Times New Roman" w:hAnsi="Arial" w:cs="Times New Roman"/>
      <w:color w:val="000000"/>
      <w:sz w:val="24"/>
      <w:szCs w:val="24"/>
      <w:lang w:val="pt-PT" w:eastAsia="pt-PT"/>
    </w:rPr>
  </w:style>
  <w:style w:type="paragraph" w:styleId="FootnoteText">
    <w:name w:val="footnote text"/>
    <w:basedOn w:val="Normal"/>
    <w:link w:val="FootnoteTextChar"/>
    <w:unhideWhenUsed/>
    <w:rsid w:val="00F2343F"/>
    <w:pPr>
      <w:spacing w:after="0" w:line="240" w:lineRule="auto"/>
      <w:jc w:val="both"/>
    </w:pPr>
    <w:rPr>
      <w:rFonts w:ascii="Arial Narrow" w:eastAsia="Calibri" w:hAnsi="Arial Narrow"/>
      <w:sz w:val="20"/>
      <w:szCs w:val="20"/>
      <w:lang w:val="pt-PT" w:eastAsia="x-none"/>
    </w:rPr>
  </w:style>
  <w:style w:type="character" w:customStyle="1" w:styleId="FootnoteTextChar">
    <w:name w:val="Footnote Text Char"/>
    <w:basedOn w:val="DefaultParagraphFont"/>
    <w:link w:val="FootnoteText"/>
    <w:rsid w:val="00F2343F"/>
    <w:rPr>
      <w:rFonts w:ascii="Arial Narrow" w:eastAsia="Calibri" w:hAnsi="Arial Narrow" w:cs="Times New Roman"/>
      <w:sz w:val="20"/>
      <w:szCs w:val="20"/>
      <w:lang w:val="pt-PT" w:eastAsia="x-none"/>
    </w:rPr>
  </w:style>
  <w:style w:type="character" w:styleId="FootnoteReference">
    <w:name w:val="footnote reference"/>
    <w:unhideWhenUsed/>
    <w:rsid w:val="00F2343F"/>
    <w:rPr>
      <w:vertAlign w:val="superscript"/>
    </w:rPr>
  </w:style>
  <w:style w:type="character" w:customStyle="1" w:styleId="ListParagraphChar">
    <w:name w:val="List Paragraph Char"/>
    <w:aliases w:val="Table bullet Char,List Paragraph (numbered (a)) Char,List_Paragraph Char,Multilevel para_II Char,List Paragraph1 Char,Akapit z listą BS Char,Bullet1 Char,References Char,ReferencesCxSpLast Char,body bullets Char,Bullets Char"/>
    <w:link w:val="ListParagraph"/>
    <w:uiPriority w:val="34"/>
    <w:qFormat/>
    <w:locked/>
    <w:rsid w:val="007007B9"/>
    <w:rPr>
      <w:rFonts w:ascii="Times New Roman" w:eastAsia="Times New Roman" w:hAnsi="Times New Roman" w:cs="Times New Roman"/>
      <w:sz w:val="24"/>
      <w:szCs w:val="20"/>
      <w:lang w:val="pt-PT"/>
    </w:rPr>
  </w:style>
  <w:style w:type="character" w:customStyle="1" w:styleId="Heading1Char">
    <w:name w:val="Heading 1 Char"/>
    <w:basedOn w:val="DefaultParagraphFont"/>
    <w:link w:val="Heading1"/>
    <w:uiPriority w:val="9"/>
    <w:rsid w:val="00252CC9"/>
    <w:rPr>
      <w:rFonts w:asciiTheme="majorHAnsi" w:eastAsiaTheme="majorEastAsia" w:hAnsiTheme="majorHAnsi" w:cstheme="majorBidi"/>
      <w:color w:val="2E74B5" w:themeColor="accent1" w:themeShade="BF"/>
      <w:sz w:val="32"/>
      <w:szCs w:val="32"/>
      <w:lang w:val="pt-PT"/>
    </w:rPr>
  </w:style>
  <w:style w:type="paragraph" w:customStyle="1" w:styleId="m5043855748185633779ydpc7a8d5edmsonormal">
    <w:name w:val="m5043855748185633779ydpc7a8d5edmsonormal"/>
    <w:basedOn w:val="Normal"/>
    <w:rsid w:val="00623B6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172C7C"/>
    <w:rPr>
      <w:i/>
      <w:iCs/>
    </w:rPr>
  </w:style>
  <w:style w:type="character" w:customStyle="1" w:styleId="gmail-acopre1">
    <w:name w:val="gmail-acopre1"/>
    <w:rsid w:val="00172C7C"/>
  </w:style>
  <w:style w:type="character" w:customStyle="1" w:styleId="Heading6Char">
    <w:name w:val="Heading 6 Char"/>
    <w:basedOn w:val="DefaultParagraphFont"/>
    <w:link w:val="Heading6"/>
    <w:uiPriority w:val="9"/>
    <w:semiHidden/>
    <w:rsid w:val="00BE4441"/>
    <w:rPr>
      <w:rFonts w:asciiTheme="majorHAnsi" w:eastAsiaTheme="majorEastAsia" w:hAnsiTheme="majorHAnsi" w:cstheme="majorBidi"/>
      <w:color w:val="1F4D78" w:themeColor="accent1" w:themeShade="7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intane@gmail.com" TargetMode="External"/><Relationship Id="rId5" Type="http://schemas.openxmlformats.org/officeDocument/2006/relationships/webSettings" Target="webSettings.xml"/><Relationship Id="rId10" Type="http://schemas.openxmlformats.org/officeDocument/2006/relationships/hyperlink" Target="mailto:antonio.queface@gmail.com" TargetMode="External"/><Relationship Id="rId4" Type="http://schemas.openxmlformats.org/officeDocument/2006/relationships/settings" Target="settings.xml"/><Relationship Id="rId9" Type="http://schemas.openxmlformats.org/officeDocument/2006/relationships/hyperlink" Target="http://www.ingd.gov.mz/anunci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C5CD-BED1-4C02-ACEE-63143562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1049</Words>
  <Characters>5665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Eduardo Pintane</dc:creator>
  <cp:keywords/>
  <dc:description/>
  <cp:lastModifiedBy>USER</cp:lastModifiedBy>
  <cp:revision>5</cp:revision>
  <cp:lastPrinted>2021-04-30T07:42:00Z</cp:lastPrinted>
  <dcterms:created xsi:type="dcterms:W3CDTF">2022-02-10T11:28:00Z</dcterms:created>
  <dcterms:modified xsi:type="dcterms:W3CDTF">2022-02-10T12:14:00Z</dcterms:modified>
</cp:coreProperties>
</file>